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B61BE" w14:textId="0A6919E7" w:rsidR="00FE70D8" w:rsidRPr="00A3111E" w:rsidRDefault="000F2943" w:rsidP="00F15A33">
      <w:pPr>
        <w:jc w:val="center"/>
        <w:rPr>
          <w:rFonts w:ascii="Arial" w:hAnsi="Arial" w:cs="Arial"/>
          <w:b/>
          <w:bCs/>
          <w:color w:val="4F6228" w:themeColor="accent3" w:themeShade="80"/>
          <w:sz w:val="32"/>
          <w:szCs w:val="32"/>
          <w:lang w:val="fr-FR"/>
        </w:rPr>
      </w:pPr>
      <w:r w:rsidRPr="00A3111E">
        <w:rPr>
          <w:rFonts w:ascii="Arial" w:hAnsi="Arial" w:cs="Arial"/>
          <w:b/>
          <w:bCs/>
          <w:color w:val="A6A6A6" w:themeColor="background1" w:themeShade="A6"/>
          <w:sz w:val="32"/>
          <w:szCs w:val="32"/>
          <w:lang w:val="fr-FR"/>
        </w:rPr>
        <w:t>[</w:t>
      </w:r>
      <w:r w:rsidR="00A210A4" w:rsidRPr="00A3111E">
        <w:rPr>
          <w:rFonts w:ascii="Arial" w:hAnsi="Arial" w:cs="Arial"/>
          <w:b/>
          <w:bCs/>
          <w:i/>
          <w:iCs/>
          <w:color w:val="A6A6A6" w:themeColor="background1" w:themeShade="A6"/>
          <w:sz w:val="32"/>
          <w:szCs w:val="32"/>
          <w:lang w:val="fr-FR"/>
        </w:rPr>
        <w:t>Modèle</w:t>
      </w:r>
      <w:r w:rsidRPr="00A3111E">
        <w:rPr>
          <w:rFonts w:ascii="Arial" w:hAnsi="Arial" w:cs="Arial"/>
          <w:b/>
          <w:bCs/>
          <w:color w:val="A6A6A6" w:themeColor="background1" w:themeShade="A6"/>
          <w:sz w:val="32"/>
          <w:szCs w:val="32"/>
          <w:lang w:val="fr-FR"/>
        </w:rPr>
        <w:t>]</w:t>
      </w:r>
      <w:r w:rsidRPr="00A3111E">
        <w:rPr>
          <w:rStyle w:val="FootnoteReference"/>
          <w:rFonts w:ascii="Arial" w:hAnsi="Arial" w:cs="Arial"/>
          <w:b/>
          <w:bCs/>
          <w:color w:val="A6A6A6" w:themeColor="background1" w:themeShade="A6"/>
          <w:sz w:val="32"/>
          <w:szCs w:val="32"/>
        </w:rPr>
        <w:footnoteReference w:id="1"/>
      </w:r>
      <w:r w:rsidR="0066384A" w:rsidRPr="00A3111E">
        <w:rPr>
          <w:rFonts w:ascii="Arial" w:hAnsi="Arial" w:cs="Arial"/>
          <w:b/>
          <w:bCs/>
          <w:color w:val="A6A6A6" w:themeColor="background1" w:themeShade="A6"/>
          <w:sz w:val="32"/>
          <w:szCs w:val="32"/>
          <w:lang w:val="fr-FR"/>
        </w:rPr>
        <w:t xml:space="preserve"> </w:t>
      </w:r>
      <w:r w:rsidR="00A210A4" w:rsidRPr="00A3111E">
        <w:rPr>
          <w:rFonts w:ascii="Arial" w:hAnsi="Arial" w:cs="Arial"/>
          <w:b/>
          <w:bCs/>
          <w:color w:val="4F6228" w:themeColor="accent3" w:themeShade="80"/>
          <w:sz w:val="32"/>
          <w:szCs w:val="32"/>
          <w:lang w:val="fr-FR"/>
        </w:rPr>
        <w:t xml:space="preserve">Déclaration Conjointe sur l'Alimentation des Nourrissons et des Jeunes Enfants dans le Contexte de </w:t>
      </w:r>
      <w:proofErr w:type="spellStart"/>
      <w:r w:rsidR="00A210A4" w:rsidRPr="00A3111E">
        <w:rPr>
          <w:rFonts w:ascii="Arial" w:hAnsi="Arial" w:cs="Arial"/>
          <w:b/>
          <w:bCs/>
          <w:color w:val="4F6228" w:themeColor="accent3" w:themeShade="80"/>
          <w:sz w:val="32"/>
          <w:szCs w:val="32"/>
          <w:lang w:val="fr-FR"/>
        </w:rPr>
        <w:t>Mpox</w:t>
      </w:r>
      <w:proofErr w:type="spellEnd"/>
      <w:r w:rsidR="00A210A4" w:rsidRPr="00A3111E">
        <w:rPr>
          <w:rFonts w:ascii="Arial" w:hAnsi="Arial" w:cs="Arial"/>
          <w:b/>
          <w:bCs/>
          <w:color w:val="4F6228" w:themeColor="accent3" w:themeShade="80"/>
          <w:sz w:val="32"/>
          <w:szCs w:val="32"/>
          <w:vertAlign w:val="superscript"/>
          <w:lang w:val="fr-FR"/>
        </w:rPr>
        <w:t xml:space="preserve"> </w:t>
      </w:r>
      <w:r w:rsidRPr="00A3111E">
        <w:rPr>
          <w:rStyle w:val="FootnoteReference"/>
          <w:rFonts w:ascii="Arial" w:hAnsi="Arial" w:cs="Arial"/>
          <w:b/>
          <w:bCs/>
          <w:color w:val="4F6228" w:themeColor="accent3" w:themeShade="80"/>
          <w:sz w:val="32"/>
          <w:szCs w:val="32"/>
        </w:rPr>
        <w:footnoteReference w:id="2"/>
      </w:r>
    </w:p>
    <w:p w14:paraId="1AA8FE90" w14:textId="66F049BF" w:rsidR="0029235F" w:rsidRPr="00A3111E" w:rsidRDefault="000F2943" w:rsidP="00F15A33">
      <w:pPr>
        <w:jc w:val="center"/>
        <w:rPr>
          <w:rFonts w:ascii="Arial" w:hAnsi="Arial" w:cs="Arial"/>
          <w:i/>
          <w:iCs/>
          <w:color w:val="A6A6A6" w:themeColor="background1" w:themeShade="A6"/>
          <w:sz w:val="20"/>
          <w:szCs w:val="20"/>
          <w:lang w:val="fr-FR"/>
        </w:rPr>
      </w:pPr>
      <w:r w:rsidRPr="00A3111E">
        <w:rPr>
          <w:rFonts w:ascii="Arial" w:hAnsi="Arial" w:cs="Arial"/>
          <w:i/>
          <w:iCs/>
          <w:color w:val="A6A6A6" w:themeColor="background1" w:themeShade="A6"/>
          <w:sz w:val="20"/>
          <w:szCs w:val="20"/>
          <w:lang w:val="fr-FR"/>
        </w:rPr>
        <w:t>[</w:t>
      </w:r>
      <w:r w:rsidR="00A210A4" w:rsidRPr="00A3111E">
        <w:rPr>
          <w:rFonts w:ascii="Arial" w:hAnsi="Arial" w:cs="Arial"/>
          <w:i/>
          <w:iCs/>
          <w:color w:val="A6A6A6" w:themeColor="background1" w:themeShade="A6"/>
          <w:sz w:val="20"/>
          <w:szCs w:val="20"/>
          <w:lang w:val="fr-FR"/>
        </w:rPr>
        <w:t>Date : Les pays sont priés d'inclure la date</w:t>
      </w:r>
      <w:r w:rsidRPr="00A3111E">
        <w:rPr>
          <w:rFonts w:ascii="Arial" w:hAnsi="Arial" w:cs="Arial"/>
          <w:i/>
          <w:iCs/>
          <w:color w:val="A6A6A6" w:themeColor="background1" w:themeShade="A6"/>
          <w:sz w:val="20"/>
          <w:szCs w:val="20"/>
          <w:lang w:val="fr-FR"/>
        </w:rPr>
        <w:t>]</w:t>
      </w:r>
    </w:p>
    <w:p w14:paraId="5C6172A2" w14:textId="4DC3FFCE" w:rsidR="0066384A" w:rsidRPr="00A3111E" w:rsidRDefault="00A210A4" w:rsidP="00F15A33">
      <w:pPr>
        <w:tabs>
          <w:tab w:val="left" w:pos="2694"/>
        </w:tabs>
        <w:spacing w:after="0" w:line="240" w:lineRule="auto"/>
        <w:ind w:right="-64"/>
        <w:jc w:val="both"/>
        <w:rPr>
          <w:rFonts w:ascii="Arial" w:hAnsi="Arial" w:cs="Arial"/>
          <w:b/>
          <w:i/>
          <w:iCs/>
          <w:color w:val="455F51"/>
          <w:spacing w:val="-2"/>
          <w:lang w:val="fr-FR"/>
        </w:rPr>
      </w:pPr>
      <w:r w:rsidRPr="00A3111E">
        <w:rPr>
          <w:rFonts w:ascii="Arial" w:hAnsi="Arial" w:cs="Arial"/>
          <w:b/>
          <w:i/>
          <w:iCs/>
          <w:color w:val="455F51"/>
          <w:spacing w:val="-2"/>
          <w:lang w:val="fr-FR"/>
        </w:rPr>
        <w:t xml:space="preserve">Les partenaires du Cluster mondial de la nutrition </w:t>
      </w:r>
      <w:r w:rsidRPr="00A3111E">
        <w:rPr>
          <w:rFonts w:ascii="Arial" w:hAnsi="Arial" w:cs="Arial"/>
          <w:bCs/>
          <w:i/>
          <w:iCs/>
          <w:color w:val="808080" w:themeColor="background1" w:themeShade="80"/>
          <w:spacing w:val="-2"/>
          <w:lang w:val="fr-FR"/>
        </w:rPr>
        <w:t>[Les clusters nationaux sont priés d'inclure d'autres acteurs dans le contexte local tels que l'OMS, l'UNICEF, etc.]</w:t>
      </w:r>
      <w:r w:rsidRPr="00A3111E">
        <w:rPr>
          <w:rFonts w:ascii="Arial" w:hAnsi="Arial" w:cs="Arial"/>
          <w:b/>
          <w:i/>
          <w:iCs/>
          <w:color w:val="808080" w:themeColor="background1" w:themeShade="80"/>
          <w:spacing w:val="-2"/>
          <w:lang w:val="fr-FR"/>
        </w:rPr>
        <w:t xml:space="preserve"> </w:t>
      </w:r>
      <w:r w:rsidRPr="00A3111E">
        <w:rPr>
          <w:rFonts w:ascii="Arial" w:hAnsi="Arial" w:cs="Arial"/>
          <w:b/>
          <w:i/>
          <w:iCs/>
          <w:color w:val="3A5536"/>
          <w:spacing w:val="-2"/>
          <w:lang w:val="fr-FR"/>
        </w:rPr>
        <w:t xml:space="preserve">et </w:t>
      </w:r>
      <w:r w:rsidR="00092EE7" w:rsidRPr="00A3111E">
        <w:rPr>
          <w:rFonts w:ascii="Arial" w:hAnsi="Arial" w:cs="Arial"/>
          <w:b/>
          <w:i/>
          <w:iCs/>
          <w:color w:val="3A5536"/>
          <w:spacing w:val="-2"/>
          <w:lang w:val="fr-FR"/>
        </w:rPr>
        <w:t xml:space="preserve">Infant </w:t>
      </w:r>
      <w:proofErr w:type="spellStart"/>
      <w:r w:rsidR="00092EE7" w:rsidRPr="00A3111E">
        <w:rPr>
          <w:rFonts w:ascii="Arial" w:hAnsi="Arial" w:cs="Arial"/>
          <w:b/>
          <w:i/>
          <w:iCs/>
          <w:color w:val="3A5536"/>
          <w:spacing w:val="-2"/>
          <w:lang w:val="fr-FR"/>
        </w:rPr>
        <w:t>Feeding</w:t>
      </w:r>
      <w:proofErr w:type="spellEnd"/>
      <w:r w:rsidR="00092EE7" w:rsidRPr="00A3111E">
        <w:rPr>
          <w:rFonts w:ascii="Arial" w:hAnsi="Arial" w:cs="Arial"/>
          <w:b/>
          <w:i/>
          <w:iCs/>
          <w:color w:val="3A5536"/>
          <w:spacing w:val="-2"/>
          <w:lang w:val="fr-FR"/>
        </w:rPr>
        <w:t xml:space="preserve"> in Emergencies </w:t>
      </w:r>
      <w:proofErr w:type="spellStart"/>
      <w:r w:rsidR="00092EE7" w:rsidRPr="00A3111E">
        <w:rPr>
          <w:rFonts w:ascii="Arial" w:hAnsi="Arial" w:cs="Arial"/>
          <w:b/>
          <w:i/>
          <w:iCs/>
          <w:color w:val="3A5536"/>
          <w:spacing w:val="-2"/>
          <w:lang w:val="fr-FR"/>
        </w:rPr>
        <w:t>Core</w:t>
      </w:r>
      <w:proofErr w:type="spellEnd"/>
      <w:r w:rsidR="00092EE7" w:rsidRPr="00A3111E">
        <w:rPr>
          <w:rFonts w:ascii="Arial" w:hAnsi="Arial" w:cs="Arial"/>
          <w:b/>
          <w:i/>
          <w:iCs/>
          <w:color w:val="3A5536"/>
          <w:spacing w:val="-2"/>
          <w:lang w:val="fr-FR"/>
        </w:rPr>
        <w:t xml:space="preserve"> Group</w:t>
      </w:r>
      <w:r w:rsidR="00092EE7" w:rsidRPr="00A3111E">
        <w:rPr>
          <w:rFonts w:ascii="Arial" w:hAnsi="Arial" w:cs="Arial"/>
          <w:bCs/>
          <w:color w:val="3A5536"/>
          <w:spacing w:val="-2"/>
          <w:lang w:val="fr-FR"/>
        </w:rPr>
        <w:t xml:space="preserve"> </w:t>
      </w:r>
      <w:r w:rsidRPr="00A3111E">
        <w:rPr>
          <w:rFonts w:ascii="Arial" w:hAnsi="Arial" w:cs="Arial"/>
          <w:bCs/>
          <w:color w:val="000000" w:themeColor="text1"/>
          <w:spacing w:val="-2"/>
          <w:lang w:val="fr-FR"/>
        </w:rPr>
        <w:t xml:space="preserve">appellent </w:t>
      </w:r>
      <w:r w:rsidRPr="00A3111E">
        <w:rPr>
          <w:rFonts w:ascii="Arial" w:hAnsi="Arial" w:cs="Arial"/>
          <w:b/>
          <w:color w:val="000000" w:themeColor="text1"/>
          <w:spacing w:val="-2"/>
          <w:lang w:val="fr-FR"/>
        </w:rPr>
        <w:t xml:space="preserve">TOUS les acteurs humanitaires impliqués dans la réponse à l'épidémie de </w:t>
      </w:r>
      <w:proofErr w:type="spellStart"/>
      <w:r w:rsidRPr="00A3111E">
        <w:rPr>
          <w:rFonts w:ascii="Arial" w:hAnsi="Arial" w:cs="Arial"/>
          <w:b/>
          <w:color w:val="000000" w:themeColor="text1"/>
          <w:spacing w:val="-2"/>
          <w:lang w:val="fr-FR"/>
        </w:rPr>
        <w:t>Mpox</w:t>
      </w:r>
      <w:proofErr w:type="spellEnd"/>
      <w:r w:rsidRPr="00A3111E">
        <w:rPr>
          <w:rFonts w:ascii="Arial" w:hAnsi="Arial" w:cs="Arial"/>
          <w:b/>
          <w:color w:val="000000" w:themeColor="text1"/>
          <w:spacing w:val="-2"/>
          <w:lang w:val="fr-FR"/>
        </w:rPr>
        <w:t xml:space="preserve"> à fournir un soutien approprié et rapide à l'alimentation et aux soins des nourrissons, des jeunes enfants et de leurs </w:t>
      </w:r>
      <w:r w:rsidR="000F6EF3" w:rsidRPr="00A3111E">
        <w:rPr>
          <w:rFonts w:ascii="Arial" w:hAnsi="Arial" w:cs="Arial"/>
          <w:b/>
          <w:color w:val="000000" w:themeColor="text1"/>
          <w:spacing w:val="-2"/>
          <w:lang w:val="fr-FR"/>
        </w:rPr>
        <w:t>accompagnants</w:t>
      </w:r>
      <w:r w:rsidRPr="00A3111E">
        <w:rPr>
          <w:rFonts w:ascii="Arial" w:hAnsi="Arial" w:cs="Arial"/>
          <w:b/>
          <w:color w:val="000000" w:themeColor="text1"/>
          <w:spacing w:val="-2"/>
          <w:lang w:val="fr-FR"/>
        </w:rPr>
        <w:t>.</w:t>
      </w:r>
      <w:r w:rsidRPr="00A3111E">
        <w:rPr>
          <w:rFonts w:ascii="Arial" w:hAnsi="Arial" w:cs="Arial"/>
          <w:bCs/>
          <w:color w:val="000000" w:themeColor="text1"/>
          <w:spacing w:val="-2"/>
          <w:lang w:val="fr-FR"/>
        </w:rPr>
        <w:t xml:space="preserve"> Cela est essentiel pour soutenir la survie, la croissance et le développement de l'enfant, et pour prévenir la malnutrition, les maladies et la mortalité.</w:t>
      </w:r>
    </w:p>
    <w:p w14:paraId="58D18FB1" w14:textId="77777777" w:rsidR="00A210A4" w:rsidRPr="00A3111E" w:rsidRDefault="00A210A4" w:rsidP="00F15A33">
      <w:pPr>
        <w:tabs>
          <w:tab w:val="left" w:pos="2694"/>
        </w:tabs>
        <w:spacing w:after="0" w:line="240" w:lineRule="auto"/>
        <w:ind w:right="-64"/>
        <w:jc w:val="both"/>
        <w:rPr>
          <w:rFonts w:ascii="Arial" w:hAnsi="Arial" w:cs="Arial"/>
          <w:bCs/>
          <w:i/>
          <w:iCs/>
          <w:sz w:val="14"/>
          <w:szCs w:val="14"/>
          <w:lang w:val="fr-FR"/>
        </w:rPr>
      </w:pPr>
    </w:p>
    <w:p w14:paraId="1F5394ED" w14:textId="1BE2E2E3" w:rsidR="00F4638F" w:rsidRPr="00A3111E" w:rsidRDefault="005C0EA0" w:rsidP="00F15A33">
      <w:pPr>
        <w:tabs>
          <w:tab w:val="left" w:pos="2694"/>
        </w:tabs>
        <w:spacing w:after="0" w:line="240" w:lineRule="auto"/>
        <w:ind w:right="-64"/>
        <w:jc w:val="both"/>
        <w:rPr>
          <w:rFonts w:ascii="Arial" w:hAnsi="Arial" w:cs="Arial"/>
          <w:bCs/>
          <w:lang w:val="fr-FR"/>
        </w:rPr>
        <w:sectPr w:rsidR="00F4638F" w:rsidRPr="00A3111E" w:rsidSect="00AD2DEE">
          <w:headerReference w:type="default" r:id="rId8"/>
          <w:pgSz w:w="11906" w:h="16838"/>
          <w:pgMar w:top="720" w:right="720" w:bottom="720" w:left="720" w:header="624" w:footer="397" w:gutter="0"/>
          <w:pgNumType w:start="1"/>
          <w:cols w:space="720"/>
          <w:docGrid w:linePitch="299"/>
        </w:sectPr>
      </w:pPr>
      <w:r w:rsidRPr="00A3111E">
        <w:rPr>
          <w:rFonts w:ascii="Arial" w:hAnsi="Arial" w:cs="Arial"/>
          <w:bCs/>
          <w:noProof/>
          <w:color w:val="000000" w:themeColor="text1"/>
        </w:rPr>
        <mc:AlternateContent>
          <mc:Choice Requires="wps">
            <w:drawing>
              <wp:anchor distT="0" distB="0" distL="114300" distR="114300" simplePos="0" relativeHeight="251667456" behindDoc="0" locked="0" layoutInCell="1" allowOverlap="1" wp14:anchorId="286DA5DE" wp14:editId="1CF9FDDC">
                <wp:simplePos x="0" y="0"/>
                <wp:positionH relativeFrom="margin">
                  <wp:posOffset>-203835</wp:posOffset>
                </wp:positionH>
                <wp:positionV relativeFrom="paragraph">
                  <wp:posOffset>848995</wp:posOffset>
                </wp:positionV>
                <wp:extent cx="7101840" cy="3196590"/>
                <wp:effectExtent l="38100" t="38100" r="35560" b="41910"/>
                <wp:wrapSquare wrapText="bothSides"/>
                <wp:docPr id="756898356" name="Text Box 1"/>
                <wp:cNvGraphicFramePr/>
                <a:graphic xmlns:a="http://schemas.openxmlformats.org/drawingml/2006/main">
                  <a:graphicData uri="http://schemas.microsoft.com/office/word/2010/wordprocessingShape">
                    <wps:wsp>
                      <wps:cNvSpPr txBox="1"/>
                      <wps:spPr>
                        <a:xfrm>
                          <a:off x="0" y="0"/>
                          <a:ext cx="7101840" cy="3196590"/>
                        </a:xfrm>
                        <a:prstGeom prst="rect">
                          <a:avLst/>
                        </a:prstGeom>
                        <a:noFill/>
                        <a:ln w="76200">
                          <a:solidFill>
                            <a:srgbClr val="3E5F1C"/>
                          </a:solidFill>
                        </a:ln>
                      </wps:spPr>
                      <wps:txbx>
                        <w:txbxContent>
                          <w:p w14:paraId="12331EA5" w14:textId="77777777" w:rsidR="00060723" w:rsidRPr="00F15A33" w:rsidRDefault="00060723" w:rsidP="001E674F">
                            <w:pPr>
                              <w:tabs>
                                <w:tab w:val="left" w:pos="2694"/>
                              </w:tabs>
                              <w:spacing w:after="0" w:line="240" w:lineRule="auto"/>
                              <w:ind w:right="23"/>
                              <w:rPr>
                                <w:rFonts w:ascii="Arial" w:hAnsi="Arial" w:cs="Arial"/>
                                <w:color w:val="2F4718"/>
                                <w:sz w:val="10"/>
                                <w:szCs w:val="10"/>
                              </w:rPr>
                            </w:pPr>
                          </w:p>
                          <w:p w14:paraId="287EEEA2" w14:textId="4798D8DA" w:rsidR="001E674F" w:rsidRPr="00F15A33" w:rsidRDefault="00A210A4" w:rsidP="00F15A33">
                            <w:pPr>
                              <w:tabs>
                                <w:tab w:val="left" w:pos="2694"/>
                              </w:tabs>
                              <w:spacing w:after="0" w:line="240" w:lineRule="auto"/>
                              <w:ind w:right="23"/>
                              <w:jc w:val="both"/>
                              <w:rPr>
                                <w:rFonts w:asciiTheme="majorHAnsi" w:hAnsiTheme="majorHAnsi" w:cstheme="majorHAnsi"/>
                                <w:color w:val="2F4718"/>
                              </w:rPr>
                            </w:pPr>
                            <w:r w:rsidRPr="000F6EF3">
                              <w:rPr>
                                <w:rFonts w:asciiTheme="majorHAnsi" w:hAnsiTheme="majorHAnsi" w:cstheme="majorHAnsi"/>
                                <w:color w:val="2F4718"/>
                                <w:lang w:val="fr-FR"/>
                              </w:rPr>
                              <w:t xml:space="preserve">Lors d'une épidémie de </w:t>
                            </w:r>
                            <w:proofErr w:type="spellStart"/>
                            <w:r w:rsidRPr="000F6EF3">
                              <w:rPr>
                                <w:rFonts w:asciiTheme="majorHAnsi" w:hAnsiTheme="majorHAnsi" w:cstheme="majorHAnsi"/>
                                <w:color w:val="2F4718"/>
                                <w:lang w:val="fr-FR"/>
                              </w:rPr>
                              <w:t>Mpox</w:t>
                            </w:r>
                            <w:proofErr w:type="spellEnd"/>
                            <w:r w:rsidRPr="000F6EF3">
                              <w:rPr>
                                <w:rFonts w:asciiTheme="majorHAnsi" w:hAnsiTheme="majorHAnsi" w:cstheme="majorHAnsi"/>
                                <w:color w:val="2F4718"/>
                                <w:lang w:val="fr-FR"/>
                              </w:rPr>
                              <w:t xml:space="preserve">, les enfants de la naissance jusqu'à deux ans, et en particulier de la naissance à six mois, ainsi que les femmes enceintes, sont particulièrement vulnérables à la malnutrition, aux maladies et même à la mort. </w:t>
                            </w:r>
                            <w:r w:rsidRPr="000F6EF3">
                              <w:rPr>
                                <w:rFonts w:asciiTheme="majorHAnsi" w:hAnsiTheme="majorHAnsi" w:cstheme="majorHAnsi"/>
                                <w:b/>
                                <w:bCs/>
                                <w:color w:val="2F4718"/>
                                <w:lang w:val="fr-FR"/>
                              </w:rPr>
                              <w:t xml:space="preserve">Les pratiques ANJE recommandées </w:t>
                            </w:r>
                            <w:r w:rsidRPr="000F6EF3">
                              <w:rPr>
                                <w:rFonts w:asciiTheme="majorHAnsi" w:hAnsiTheme="majorHAnsi" w:cstheme="majorHAnsi"/>
                                <w:color w:val="2F4718"/>
                                <w:lang w:val="fr-FR"/>
                              </w:rPr>
                              <w:t xml:space="preserve">au niveau mondial protègent la santé et le bien-être des enfants et sont particulièrement pertinentes en situation d'urgence. </w:t>
                            </w:r>
                            <w:r w:rsidRPr="001E730F">
                              <w:rPr>
                                <w:rFonts w:asciiTheme="majorHAnsi" w:hAnsiTheme="majorHAnsi" w:cstheme="majorHAnsi"/>
                                <w:b/>
                                <w:bCs/>
                                <w:color w:val="2F4718"/>
                              </w:rPr>
                              <w:t xml:space="preserve">Les pratiques </w:t>
                            </w:r>
                            <w:proofErr w:type="spellStart"/>
                            <w:r w:rsidRPr="001E730F">
                              <w:rPr>
                                <w:rFonts w:asciiTheme="majorHAnsi" w:hAnsiTheme="majorHAnsi" w:cstheme="majorHAnsi"/>
                                <w:b/>
                                <w:bCs/>
                                <w:color w:val="2F4718"/>
                              </w:rPr>
                              <w:t>recommandées</w:t>
                            </w:r>
                            <w:proofErr w:type="spellEnd"/>
                            <w:r w:rsidRPr="00A210A4">
                              <w:rPr>
                                <w:rFonts w:asciiTheme="majorHAnsi" w:hAnsiTheme="majorHAnsi" w:cstheme="majorHAnsi"/>
                                <w:color w:val="2F4718"/>
                              </w:rPr>
                              <w:t xml:space="preserve"> </w:t>
                            </w:r>
                            <w:proofErr w:type="spellStart"/>
                            <w:proofErr w:type="gramStart"/>
                            <w:r w:rsidRPr="00A210A4">
                              <w:rPr>
                                <w:rFonts w:asciiTheme="majorHAnsi" w:hAnsiTheme="majorHAnsi" w:cstheme="majorHAnsi"/>
                                <w:color w:val="2F4718"/>
                              </w:rPr>
                              <w:t>incluent</w:t>
                            </w:r>
                            <w:proofErr w:type="spellEnd"/>
                            <w:r w:rsidR="00FD357F">
                              <w:rPr>
                                <w:rFonts w:asciiTheme="majorHAnsi" w:hAnsiTheme="majorHAnsi" w:cstheme="majorHAnsi"/>
                                <w:color w:val="2F4718"/>
                              </w:rPr>
                              <w:t xml:space="preserve"> </w:t>
                            </w:r>
                            <w:r w:rsidR="00AB409F" w:rsidRPr="00F15A33">
                              <w:rPr>
                                <w:rFonts w:asciiTheme="majorHAnsi" w:hAnsiTheme="majorHAnsi" w:cstheme="majorHAnsi"/>
                                <w:color w:val="2F4718"/>
                              </w:rPr>
                              <w:t>:</w:t>
                            </w:r>
                            <w:proofErr w:type="gramEnd"/>
                            <w:r w:rsidR="001E674F" w:rsidRPr="00F15A33">
                              <w:rPr>
                                <w:rFonts w:asciiTheme="majorHAnsi" w:hAnsiTheme="majorHAnsi" w:cstheme="majorHAnsi"/>
                                <w:color w:val="2F4718"/>
                              </w:rPr>
                              <w:t xml:space="preserve"> </w:t>
                            </w:r>
                          </w:p>
                          <w:p w14:paraId="374F71DD" w14:textId="77777777" w:rsidR="00F144F4" w:rsidRPr="00F15A33" w:rsidRDefault="00F144F4" w:rsidP="00F15A33">
                            <w:pPr>
                              <w:tabs>
                                <w:tab w:val="left" w:pos="2694"/>
                              </w:tabs>
                              <w:spacing w:after="0" w:line="240" w:lineRule="auto"/>
                              <w:ind w:right="23"/>
                              <w:jc w:val="both"/>
                              <w:rPr>
                                <w:rFonts w:asciiTheme="majorHAnsi" w:hAnsiTheme="majorHAnsi" w:cstheme="majorHAnsi"/>
                                <w:color w:val="2F4718"/>
                              </w:rPr>
                            </w:pPr>
                          </w:p>
                          <w:p w14:paraId="6736DD7A" w14:textId="688E4528" w:rsidR="0066384A" w:rsidRPr="000F6EF3" w:rsidRDefault="00A210A4" w:rsidP="005C0EA0">
                            <w:pPr>
                              <w:pStyle w:val="ListParagraph"/>
                              <w:numPr>
                                <w:ilvl w:val="0"/>
                                <w:numId w:val="5"/>
                              </w:numPr>
                              <w:tabs>
                                <w:tab w:val="left" w:pos="2694"/>
                              </w:tabs>
                              <w:spacing w:after="0" w:line="240" w:lineRule="auto"/>
                              <w:ind w:left="851" w:right="57" w:hanging="227"/>
                              <w:jc w:val="both"/>
                              <w:rPr>
                                <w:rFonts w:asciiTheme="majorHAnsi" w:hAnsiTheme="majorHAnsi" w:cstheme="majorHAnsi"/>
                                <w:bCs/>
                                <w:color w:val="2F4718"/>
                                <w:lang w:val="fr-FR"/>
                              </w:rPr>
                            </w:pPr>
                            <w:r w:rsidRPr="000F6EF3">
                              <w:rPr>
                                <w:rFonts w:asciiTheme="majorHAnsi" w:hAnsiTheme="majorHAnsi" w:cstheme="majorHAnsi"/>
                                <w:b/>
                                <w:color w:val="2F4718"/>
                                <w:lang w:val="fr-FR"/>
                              </w:rPr>
                              <w:t xml:space="preserve">Initiation précoce de l'allaitement </w:t>
                            </w:r>
                            <w:r w:rsidRPr="000F6EF3">
                              <w:rPr>
                                <w:rFonts w:asciiTheme="majorHAnsi" w:hAnsiTheme="majorHAnsi" w:cstheme="majorHAnsi"/>
                                <w:bCs/>
                                <w:color w:val="2F4718"/>
                                <w:lang w:val="fr-FR"/>
                              </w:rPr>
                              <w:t>(mettre le bébé au sein dans l'heure suivant la naissance</w:t>
                            </w:r>
                            <w:r w:rsidR="00B702E9" w:rsidRPr="000F6EF3">
                              <w:rPr>
                                <w:rFonts w:asciiTheme="majorHAnsi" w:hAnsiTheme="majorHAnsi" w:cstheme="majorHAnsi"/>
                                <w:bCs/>
                                <w:color w:val="2F4718"/>
                                <w:lang w:val="fr-FR"/>
                              </w:rPr>
                              <w:t>) ;</w:t>
                            </w:r>
                            <w:r w:rsidR="001E674F" w:rsidRPr="000F6EF3">
                              <w:rPr>
                                <w:rFonts w:asciiTheme="majorHAnsi" w:hAnsiTheme="majorHAnsi" w:cstheme="majorHAnsi"/>
                                <w:bCs/>
                                <w:color w:val="2F4718"/>
                                <w:lang w:val="fr-FR"/>
                              </w:rPr>
                              <w:t xml:space="preserve"> </w:t>
                            </w:r>
                          </w:p>
                          <w:p w14:paraId="598B7E04" w14:textId="58695A24" w:rsidR="0066384A" w:rsidRPr="00BD39B7" w:rsidRDefault="00A210A4" w:rsidP="005C0EA0">
                            <w:pPr>
                              <w:pStyle w:val="ListParagraph"/>
                              <w:numPr>
                                <w:ilvl w:val="0"/>
                                <w:numId w:val="5"/>
                              </w:numPr>
                              <w:tabs>
                                <w:tab w:val="left" w:pos="2694"/>
                              </w:tabs>
                              <w:spacing w:after="0" w:line="240" w:lineRule="auto"/>
                              <w:ind w:left="851" w:right="57" w:hanging="227"/>
                              <w:jc w:val="both"/>
                              <w:rPr>
                                <w:rFonts w:asciiTheme="majorHAnsi" w:hAnsiTheme="majorHAnsi" w:cstheme="majorHAnsi"/>
                                <w:color w:val="2F4718"/>
                                <w:spacing w:val="-8"/>
                                <w:lang w:val="fr-FR"/>
                              </w:rPr>
                            </w:pPr>
                            <w:r w:rsidRPr="00BD39B7">
                              <w:rPr>
                                <w:rFonts w:asciiTheme="majorHAnsi" w:hAnsiTheme="majorHAnsi" w:cstheme="majorHAnsi"/>
                                <w:b/>
                                <w:color w:val="2F4718"/>
                                <w:spacing w:val="-8"/>
                                <w:lang w:val="fr-FR"/>
                              </w:rPr>
                              <w:t xml:space="preserve">Allaitement exclusif pendant les 6 premiers mois </w:t>
                            </w:r>
                            <w:r w:rsidRPr="00BD39B7">
                              <w:rPr>
                                <w:rFonts w:asciiTheme="majorHAnsi" w:hAnsiTheme="majorHAnsi" w:cstheme="majorHAnsi"/>
                                <w:bCs/>
                                <w:color w:val="2F4718"/>
                                <w:spacing w:val="-8"/>
                                <w:lang w:val="fr-FR"/>
                              </w:rPr>
                              <w:t>(aucun aliment ni liquide autre que le lait maternel, même pas d'eau)</w:t>
                            </w:r>
                            <w:r w:rsidR="00BD39B7" w:rsidRPr="00BD39B7">
                              <w:rPr>
                                <w:rFonts w:asciiTheme="majorHAnsi" w:hAnsiTheme="majorHAnsi" w:cstheme="majorHAnsi"/>
                                <w:bCs/>
                                <w:color w:val="2F4718"/>
                                <w:spacing w:val="-8"/>
                                <w:lang w:val="fr-FR"/>
                              </w:rPr>
                              <w:t xml:space="preserve"> </w:t>
                            </w:r>
                            <w:r w:rsidR="001E674F" w:rsidRPr="00BD39B7">
                              <w:rPr>
                                <w:rFonts w:asciiTheme="majorHAnsi" w:hAnsiTheme="majorHAnsi" w:cstheme="majorHAnsi"/>
                                <w:color w:val="2F4718"/>
                                <w:spacing w:val="-8"/>
                                <w:lang w:val="fr-FR"/>
                              </w:rPr>
                              <w:t xml:space="preserve">; </w:t>
                            </w:r>
                          </w:p>
                          <w:p w14:paraId="3C0C7E6E" w14:textId="77777777" w:rsidR="00A210A4" w:rsidRPr="000F6EF3" w:rsidRDefault="00A210A4" w:rsidP="005C0EA0">
                            <w:pPr>
                              <w:pStyle w:val="ListParagraph"/>
                              <w:numPr>
                                <w:ilvl w:val="0"/>
                                <w:numId w:val="5"/>
                              </w:numPr>
                              <w:tabs>
                                <w:tab w:val="left" w:pos="2694"/>
                              </w:tabs>
                              <w:spacing w:after="0" w:line="240" w:lineRule="auto"/>
                              <w:ind w:left="851" w:right="57" w:hanging="227"/>
                              <w:jc w:val="both"/>
                              <w:rPr>
                                <w:rFonts w:asciiTheme="majorHAnsi" w:hAnsiTheme="majorHAnsi" w:cstheme="majorHAnsi"/>
                                <w:color w:val="2F4718"/>
                                <w:lang w:val="fr-FR"/>
                              </w:rPr>
                            </w:pPr>
                            <w:r w:rsidRPr="000F6EF3">
                              <w:rPr>
                                <w:rFonts w:asciiTheme="majorHAnsi" w:hAnsiTheme="majorHAnsi" w:cstheme="majorHAnsi"/>
                                <w:color w:val="2F4718"/>
                                <w:lang w:val="fr-FR"/>
                              </w:rPr>
                              <w:t xml:space="preserve">Introduction </w:t>
                            </w:r>
                            <w:r w:rsidRPr="000F6EF3">
                              <w:rPr>
                                <w:rFonts w:asciiTheme="majorHAnsi" w:hAnsiTheme="majorHAnsi" w:cstheme="majorHAnsi"/>
                                <w:b/>
                                <w:bCs/>
                                <w:color w:val="2F4718"/>
                                <w:lang w:val="fr-FR"/>
                              </w:rPr>
                              <w:t>d'aliments complémentaires sûrs</w:t>
                            </w:r>
                            <w:r w:rsidRPr="000F6EF3">
                              <w:rPr>
                                <w:rFonts w:asciiTheme="majorHAnsi" w:hAnsiTheme="majorHAnsi" w:cstheme="majorHAnsi"/>
                                <w:color w:val="2F4718"/>
                                <w:lang w:val="fr-FR"/>
                              </w:rPr>
                              <w:t xml:space="preserve"> et nutritionnellement adéquats (aliments solides et semi-solides appropriés) à partir de 6 mois ; et</w:t>
                            </w:r>
                          </w:p>
                          <w:p w14:paraId="1D56BD7E" w14:textId="0619BC9D" w:rsidR="0066384A" w:rsidRPr="000F6EF3" w:rsidRDefault="00A210A4" w:rsidP="005C0EA0">
                            <w:pPr>
                              <w:pStyle w:val="ListParagraph"/>
                              <w:numPr>
                                <w:ilvl w:val="0"/>
                                <w:numId w:val="5"/>
                              </w:numPr>
                              <w:tabs>
                                <w:tab w:val="left" w:pos="2694"/>
                              </w:tabs>
                              <w:spacing w:after="0" w:line="240" w:lineRule="auto"/>
                              <w:ind w:left="851" w:right="57" w:hanging="227"/>
                              <w:jc w:val="both"/>
                              <w:rPr>
                                <w:rFonts w:asciiTheme="majorHAnsi" w:hAnsiTheme="majorHAnsi" w:cstheme="majorHAnsi"/>
                                <w:color w:val="2F4718"/>
                                <w:lang w:val="fr-FR"/>
                              </w:rPr>
                            </w:pPr>
                            <w:r w:rsidRPr="000F6EF3">
                              <w:rPr>
                                <w:rFonts w:asciiTheme="majorHAnsi" w:hAnsiTheme="majorHAnsi" w:cstheme="majorHAnsi"/>
                                <w:b/>
                                <w:color w:val="2F4718"/>
                                <w:lang w:val="fr-FR"/>
                              </w:rPr>
                              <w:t xml:space="preserve">Poursuite de l'allaitement </w:t>
                            </w:r>
                            <w:r w:rsidRPr="000F6EF3">
                              <w:rPr>
                                <w:rFonts w:asciiTheme="majorHAnsi" w:hAnsiTheme="majorHAnsi" w:cstheme="majorHAnsi"/>
                                <w:bCs/>
                                <w:color w:val="2F4718"/>
                                <w:lang w:val="fr-FR"/>
                              </w:rPr>
                              <w:t>pendant 2 ans et au-delà</w:t>
                            </w:r>
                            <w:r w:rsidR="001E674F" w:rsidRPr="000F6EF3">
                              <w:rPr>
                                <w:rFonts w:asciiTheme="majorHAnsi" w:hAnsiTheme="majorHAnsi" w:cstheme="majorHAnsi"/>
                                <w:color w:val="2F4718"/>
                                <w:lang w:val="fr-FR"/>
                              </w:rPr>
                              <w:t>.</w:t>
                            </w:r>
                          </w:p>
                          <w:p w14:paraId="678425A1" w14:textId="77777777" w:rsidR="00F00B24" w:rsidRPr="000F6EF3" w:rsidRDefault="00F00B24" w:rsidP="00F00B24">
                            <w:pPr>
                              <w:pStyle w:val="ListParagraph"/>
                              <w:tabs>
                                <w:tab w:val="left" w:pos="2694"/>
                              </w:tabs>
                              <w:spacing w:after="0" w:line="240" w:lineRule="auto"/>
                              <w:ind w:left="1080" w:right="23"/>
                              <w:jc w:val="both"/>
                              <w:rPr>
                                <w:rFonts w:asciiTheme="majorHAnsi" w:hAnsiTheme="majorHAnsi" w:cstheme="majorHAnsi"/>
                                <w:color w:val="2F4718"/>
                                <w:lang w:val="fr-FR"/>
                              </w:rPr>
                            </w:pPr>
                          </w:p>
                          <w:p w14:paraId="730043BB" w14:textId="0FDCA181" w:rsidR="0066384A" w:rsidRPr="00035AC7" w:rsidRDefault="00A210A4" w:rsidP="00F15A33">
                            <w:pPr>
                              <w:tabs>
                                <w:tab w:val="left" w:pos="900"/>
                                <w:tab w:val="left" w:pos="2694"/>
                              </w:tabs>
                              <w:spacing w:after="0" w:line="240" w:lineRule="auto"/>
                              <w:ind w:right="23"/>
                              <w:jc w:val="both"/>
                              <w:rPr>
                                <w:rFonts w:asciiTheme="majorHAnsi" w:hAnsiTheme="majorHAnsi" w:cstheme="majorHAnsi"/>
                                <w:color w:val="2F4718"/>
                                <w:spacing w:val="-4"/>
                                <w:lang w:val="fr-FR"/>
                              </w:rPr>
                            </w:pPr>
                            <w:r w:rsidRPr="00035AC7">
                              <w:rPr>
                                <w:rFonts w:asciiTheme="majorHAnsi" w:hAnsiTheme="majorHAnsi" w:cstheme="majorHAnsi"/>
                                <w:color w:val="2F4718"/>
                                <w:spacing w:val="-4"/>
                                <w:lang w:val="fr-FR"/>
                              </w:rPr>
                              <w:t xml:space="preserve">Dans le contexte de la </w:t>
                            </w:r>
                            <w:proofErr w:type="spellStart"/>
                            <w:r w:rsidRPr="00035AC7">
                              <w:rPr>
                                <w:rFonts w:asciiTheme="majorHAnsi" w:hAnsiTheme="majorHAnsi" w:cstheme="majorHAnsi"/>
                                <w:color w:val="2F4718"/>
                                <w:spacing w:val="-4"/>
                                <w:lang w:val="fr-FR"/>
                              </w:rPr>
                              <w:t>Mpox</w:t>
                            </w:r>
                            <w:proofErr w:type="spellEnd"/>
                            <w:r w:rsidRPr="00035AC7">
                              <w:rPr>
                                <w:rFonts w:asciiTheme="majorHAnsi" w:hAnsiTheme="majorHAnsi" w:cstheme="majorHAnsi"/>
                                <w:color w:val="2F4718"/>
                                <w:spacing w:val="-4"/>
                                <w:lang w:val="fr-FR"/>
                              </w:rPr>
                              <w:t xml:space="preserve">, </w:t>
                            </w:r>
                            <w:r w:rsidRPr="00035AC7">
                              <w:rPr>
                                <w:rFonts w:asciiTheme="majorHAnsi" w:hAnsiTheme="majorHAnsi" w:cstheme="majorHAnsi"/>
                                <w:b/>
                                <w:bCs/>
                                <w:color w:val="2F4718"/>
                                <w:spacing w:val="-4"/>
                                <w:lang w:val="fr-FR"/>
                              </w:rPr>
                              <w:t>les pratiques recommandées ANJE doivent être protégées, promues et soutenues</w:t>
                            </w:r>
                            <w:r w:rsidRPr="00035AC7">
                              <w:rPr>
                                <w:rFonts w:asciiTheme="majorHAnsi" w:hAnsiTheme="majorHAnsi" w:cstheme="majorHAnsi"/>
                                <w:color w:val="2F4718"/>
                                <w:spacing w:val="-4"/>
                                <w:lang w:val="fr-FR"/>
                              </w:rPr>
                              <w:t xml:space="preserve"> tout en appliquant des mesures appropriées de prévention et de contrôle des infections (PCI) lors de l'alimentation, des soins et des contacts avec le nourrisson et le jeune enfant, conformément aux directives actuelles sur l'ANJE dans le contexte de la </w:t>
                            </w:r>
                            <w:proofErr w:type="spellStart"/>
                            <w:r w:rsidR="005F589B" w:rsidRPr="00035AC7">
                              <w:rPr>
                                <w:rFonts w:asciiTheme="majorHAnsi" w:hAnsiTheme="majorHAnsi" w:cstheme="majorHAnsi"/>
                                <w:color w:val="2F4718"/>
                                <w:spacing w:val="-4"/>
                                <w:lang w:val="fr-FR"/>
                              </w:rPr>
                              <w:t>Mpox</w:t>
                            </w:r>
                            <w:proofErr w:type="spellEnd"/>
                            <w:r w:rsidRPr="00035AC7">
                              <w:rPr>
                                <w:rFonts w:asciiTheme="majorHAnsi" w:hAnsiTheme="majorHAnsi" w:cstheme="majorHAnsi"/>
                                <w:color w:val="2F4718"/>
                                <w:spacing w:val="-4"/>
                                <w:lang w:val="fr-FR"/>
                              </w:rPr>
                              <w:t>.</w:t>
                            </w:r>
                          </w:p>
                          <w:p w14:paraId="241D98A3" w14:textId="77777777" w:rsidR="00A210A4" w:rsidRPr="000F6EF3" w:rsidRDefault="00A210A4" w:rsidP="00F15A33">
                            <w:pPr>
                              <w:tabs>
                                <w:tab w:val="left" w:pos="900"/>
                                <w:tab w:val="left" w:pos="2694"/>
                              </w:tabs>
                              <w:spacing w:after="0" w:line="240" w:lineRule="auto"/>
                              <w:ind w:right="23"/>
                              <w:jc w:val="both"/>
                              <w:rPr>
                                <w:rFonts w:asciiTheme="majorHAnsi" w:hAnsiTheme="majorHAnsi" w:cstheme="majorHAnsi"/>
                                <w:color w:val="2F4718"/>
                                <w:lang w:val="fr-FR"/>
                              </w:rPr>
                            </w:pPr>
                          </w:p>
                          <w:p w14:paraId="3FCEBB31" w14:textId="4DF15EFB" w:rsidR="0066384A" w:rsidRPr="000F6EF3" w:rsidRDefault="00CD6287" w:rsidP="00CD6287">
                            <w:pPr>
                              <w:tabs>
                                <w:tab w:val="left" w:pos="900"/>
                                <w:tab w:val="left" w:pos="2694"/>
                              </w:tabs>
                              <w:spacing w:after="0" w:line="240" w:lineRule="auto"/>
                              <w:ind w:right="23"/>
                              <w:jc w:val="both"/>
                              <w:rPr>
                                <w:rFonts w:asciiTheme="majorHAnsi" w:hAnsiTheme="majorHAnsi" w:cstheme="majorHAnsi"/>
                                <w:noProof/>
                                <w:color w:val="2F4718"/>
                                <w:lang w:val="fr-FR"/>
                              </w:rPr>
                            </w:pPr>
                            <w:r w:rsidRPr="00CD6287">
                              <w:rPr>
                                <w:rFonts w:asciiTheme="majorHAnsi" w:hAnsiTheme="majorHAnsi" w:cstheme="majorHAnsi"/>
                                <w:color w:val="2F4718"/>
                              </w:rPr>
                              <w:t xml:space="preserve">Il faut accorder plus </w:t>
                            </w:r>
                            <w:proofErr w:type="spellStart"/>
                            <w:r w:rsidRPr="00CD6287">
                              <w:rPr>
                                <w:rFonts w:asciiTheme="majorHAnsi" w:hAnsiTheme="majorHAnsi" w:cstheme="majorHAnsi"/>
                                <w:color w:val="2F4718"/>
                              </w:rPr>
                              <w:t>d'attention</w:t>
                            </w:r>
                            <w:proofErr w:type="spellEnd"/>
                            <w:r w:rsidRPr="00CD6287">
                              <w:rPr>
                                <w:rFonts w:asciiTheme="majorHAnsi" w:hAnsiTheme="majorHAnsi" w:cstheme="majorHAnsi"/>
                                <w:color w:val="2F4718"/>
                              </w:rPr>
                              <w:t xml:space="preserve"> aux </w:t>
                            </w:r>
                            <w:proofErr w:type="spellStart"/>
                            <w:r w:rsidRPr="00CD6287">
                              <w:rPr>
                                <w:rFonts w:asciiTheme="majorHAnsi" w:hAnsiTheme="majorHAnsi" w:cstheme="majorHAnsi"/>
                                <w:color w:val="2F4718"/>
                              </w:rPr>
                              <w:t>risques</w:t>
                            </w:r>
                            <w:proofErr w:type="spellEnd"/>
                            <w:r w:rsidRPr="00CD6287">
                              <w:rPr>
                                <w:rFonts w:asciiTheme="majorHAnsi" w:hAnsiTheme="majorHAnsi" w:cstheme="majorHAnsi"/>
                                <w:color w:val="2F4718"/>
                              </w:rPr>
                              <w:t xml:space="preserve"> </w:t>
                            </w:r>
                            <w:proofErr w:type="spellStart"/>
                            <w:r w:rsidRPr="00CD6287">
                              <w:rPr>
                                <w:rFonts w:asciiTheme="majorHAnsi" w:hAnsiTheme="majorHAnsi" w:cstheme="majorHAnsi"/>
                                <w:color w:val="2F4718"/>
                              </w:rPr>
                              <w:t>connus</w:t>
                            </w:r>
                            <w:proofErr w:type="spellEnd"/>
                            <w:r w:rsidRPr="00CD6287">
                              <w:rPr>
                                <w:rFonts w:asciiTheme="majorHAnsi" w:hAnsiTheme="majorHAnsi" w:cstheme="majorHAnsi"/>
                                <w:color w:val="2F4718"/>
                              </w:rPr>
                              <w:t xml:space="preserve"> </w:t>
                            </w:r>
                            <w:proofErr w:type="spellStart"/>
                            <w:r w:rsidRPr="00CD6287">
                              <w:rPr>
                                <w:rFonts w:asciiTheme="majorHAnsi" w:hAnsiTheme="majorHAnsi" w:cstheme="majorHAnsi"/>
                                <w:color w:val="2F4718"/>
                              </w:rPr>
                              <w:t>liés</w:t>
                            </w:r>
                            <w:proofErr w:type="spellEnd"/>
                            <w:r w:rsidRPr="00CD6287">
                              <w:rPr>
                                <w:rFonts w:asciiTheme="majorHAnsi" w:hAnsiTheme="majorHAnsi" w:cstheme="majorHAnsi"/>
                                <w:color w:val="2F4718"/>
                              </w:rPr>
                              <w:t xml:space="preserve"> à </w:t>
                            </w:r>
                            <w:proofErr w:type="spellStart"/>
                            <w:r w:rsidRPr="00CD6287">
                              <w:rPr>
                                <w:rFonts w:asciiTheme="majorHAnsi" w:hAnsiTheme="majorHAnsi" w:cstheme="majorHAnsi"/>
                                <w:color w:val="2F4718"/>
                              </w:rPr>
                              <w:t>l'arrêt</w:t>
                            </w:r>
                            <w:proofErr w:type="spellEnd"/>
                            <w:r w:rsidRPr="00CD6287">
                              <w:rPr>
                                <w:rFonts w:asciiTheme="majorHAnsi" w:hAnsiTheme="majorHAnsi" w:cstheme="majorHAnsi"/>
                                <w:color w:val="2F4718"/>
                              </w:rPr>
                              <w:t xml:space="preserve"> de </w:t>
                            </w:r>
                            <w:proofErr w:type="spellStart"/>
                            <w:r w:rsidRPr="00CD6287">
                              <w:rPr>
                                <w:rFonts w:asciiTheme="majorHAnsi" w:hAnsiTheme="majorHAnsi" w:cstheme="majorHAnsi"/>
                                <w:color w:val="2F4718"/>
                              </w:rPr>
                              <w:t>l'allaitement</w:t>
                            </w:r>
                            <w:proofErr w:type="spellEnd"/>
                            <w:r w:rsidRPr="00CD6287">
                              <w:rPr>
                                <w:rFonts w:asciiTheme="majorHAnsi" w:hAnsiTheme="majorHAnsi" w:cstheme="majorHAnsi"/>
                                <w:color w:val="2F4718"/>
                              </w:rPr>
                              <w:t xml:space="preserve"> et au stress </w:t>
                            </w:r>
                            <w:proofErr w:type="spellStart"/>
                            <w:r w:rsidRPr="00CD6287">
                              <w:rPr>
                                <w:rFonts w:asciiTheme="majorHAnsi" w:hAnsiTheme="majorHAnsi" w:cstheme="majorHAnsi"/>
                                <w:color w:val="2F4718"/>
                              </w:rPr>
                              <w:t>causé</w:t>
                            </w:r>
                            <w:proofErr w:type="spellEnd"/>
                            <w:r w:rsidRPr="00CD6287">
                              <w:rPr>
                                <w:rFonts w:asciiTheme="majorHAnsi" w:hAnsiTheme="majorHAnsi" w:cstheme="majorHAnsi"/>
                                <w:color w:val="2F4718"/>
                              </w:rPr>
                              <w:t xml:space="preserve"> </w:t>
                            </w:r>
                            <w:proofErr w:type="spellStart"/>
                            <w:r w:rsidRPr="00CD6287">
                              <w:rPr>
                                <w:rFonts w:asciiTheme="majorHAnsi" w:hAnsiTheme="majorHAnsi" w:cstheme="majorHAnsi"/>
                                <w:color w:val="2F4718"/>
                              </w:rPr>
                              <w:t>par</w:t>
                            </w:r>
                            <w:proofErr w:type="spellEnd"/>
                            <w:r w:rsidRPr="00CD6287">
                              <w:rPr>
                                <w:rFonts w:asciiTheme="majorHAnsi" w:hAnsiTheme="majorHAnsi" w:cstheme="majorHAnsi"/>
                                <w:color w:val="2F4718"/>
                              </w:rPr>
                              <w:t xml:space="preserve"> la </w:t>
                            </w:r>
                            <w:proofErr w:type="spellStart"/>
                            <w:r w:rsidRPr="00CD6287">
                              <w:rPr>
                                <w:rFonts w:asciiTheme="majorHAnsi" w:hAnsiTheme="majorHAnsi" w:cstheme="majorHAnsi"/>
                                <w:color w:val="2F4718"/>
                              </w:rPr>
                              <w:t>séparation</w:t>
                            </w:r>
                            <w:proofErr w:type="spellEnd"/>
                            <w:r w:rsidRPr="00CD6287">
                              <w:rPr>
                                <w:rFonts w:asciiTheme="majorHAnsi" w:hAnsiTheme="majorHAnsi" w:cstheme="majorHAnsi"/>
                                <w:color w:val="2F4718"/>
                              </w:rPr>
                              <w:t xml:space="preserve"> </w:t>
                            </w:r>
                            <w:proofErr w:type="spellStart"/>
                            <w:r w:rsidRPr="00CD6287">
                              <w:rPr>
                                <w:rFonts w:asciiTheme="majorHAnsi" w:hAnsiTheme="majorHAnsi" w:cstheme="majorHAnsi"/>
                                <w:color w:val="2F4718"/>
                              </w:rPr>
                              <w:t>mère-bébé</w:t>
                            </w:r>
                            <w:proofErr w:type="spellEnd"/>
                            <w:r w:rsidRPr="00CD6287">
                              <w:rPr>
                                <w:rFonts w:asciiTheme="majorHAnsi" w:hAnsiTheme="majorHAnsi" w:cstheme="majorHAnsi"/>
                                <w:color w:val="2F4718"/>
                              </w:rPr>
                              <w:t xml:space="preserve">, par rapport au </w:t>
                            </w:r>
                            <w:proofErr w:type="spellStart"/>
                            <w:r w:rsidRPr="00CD6287">
                              <w:rPr>
                                <w:rFonts w:asciiTheme="majorHAnsi" w:hAnsiTheme="majorHAnsi" w:cstheme="majorHAnsi"/>
                                <w:color w:val="2F4718"/>
                              </w:rPr>
                              <w:t>risque</w:t>
                            </w:r>
                            <w:proofErr w:type="spellEnd"/>
                            <w:r w:rsidRPr="00CD6287">
                              <w:rPr>
                                <w:rFonts w:asciiTheme="majorHAnsi" w:hAnsiTheme="majorHAnsi" w:cstheme="majorHAnsi"/>
                                <w:color w:val="2F4718"/>
                              </w:rPr>
                              <w:t xml:space="preserve"> </w:t>
                            </w:r>
                            <w:proofErr w:type="spellStart"/>
                            <w:r w:rsidRPr="00CD6287">
                              <w:rPr>
                                <w:rFonts w:asciiTheme="majorHAnsi" w:hAnsiTheme="majorHAnsi" w:cstheme="majorHAnsi"/>
                                <w:color w:val="2F4718"/>
                              </w:rPr>
                              <w:t>potentiel</w:t>
                            </w:r>
                            <w:proofErr w:type="spellEnd"/>
                            <w:r w:rsidRPr="00CD6287">
                              <w:rPr>
                                <w:rFonts w:asciiTheme="majorHAnsi" w:hAnsiTheme="majorHAnsi" w:cstheme="majorHAnsi"/>
                                <w:color w:val="2F4718"/>
                              </w:rPr>
                              <w:t xml:space="preserve"> </w:t>
                            </w:r>
                            <w:proofErr w:type="spellStart"/>
                            <w:r w:rsidRPr="00CD6287">
                              <w:rPr>
                                <w:rFonts w:asciiTheme="majorHAnsi" w:hAnsiTheme="majorHAnsi" w:cstheme="majorHAnsi"/>
                                <w:color w:val="2F4718"/>
                              </w:rPr>
                              <w:t>mais</w:t>
                            </w:r>
                            <w:proofErr w:type="spellEnd"/>
                            <w:r w:rsidRPr="00CD6287">
                              <w:rPr>
                                <w:rFonts w:asciiTheme="majorHAnsi" w:hAnsiTheme="majorHAnsi" w:cstheme="majorHAnsi"/>
                                <w:color w:val="2F4718"/>
                              </w:rPr>
                              <w:t xml:space="preserve"> </w:t>
                            </w:r>
                            <w:proofErr w:type="spellStart"/>
                            <w:r w:rsidRPr="00CD6287">
                              <w:rPr>
                                <w:rFonts w:asciiTheme="majorHAnsi" w:hAnsiTheme="majorHAnsi" w:cstheme="majorHAnsi"/>
                                <w:color w:val="2F4718"/>
                              </w:rPr>
                              <w:t>incertain</w:t>
                            </w:r>
                            <w:proofErr w:type="spellEnd"/>
                            <w:r w:rsidRPr="00CD6287">
                              <w:rPr>
                                <w:rFonts w:asciiTheme="majorHAnsi" w:hAnsiTheme="majorHAnsi" w:cstheme="majorHAnsi"/>
                                <w:color w:val="2F4718"/>
                              </w:rPr>
                              <w:t xml:space="preserve"> </w:t>
                            </w:r>
                            <w:proofErr w:type="spellStart"/>
                            <w:r w:rsidRPr="00CD6287">
                              <w:rPr>
                                <w:rFonts w:asciiTheme="majorHAnsi" w:hAnsiTheme="majorHAnsi" w:cstheme="majorHAnsi"/>
                                <w:color w:val="2F4718"/>
                              </w:rPr>
                              <w:t>d'infection</w:t>
                            </w:r>
                            <w:proofErr w:type="spellEnd"/>
                            <w:r w:rsidRPr="00CD6287">
                              <w:rPr>
                                <w:rFonts w:asciiTheme="majorHAnsi" w:hAnsiTheme="majorHAnsi" w:cstheme="majorHAnsi"/>
                                <w:color w:val="2F4718"/>
                              </w:rPr>
                              <w:t xml:space="preserve"> par la variole du singe chez le </w:t>
                            </w:r>
                            <w:proofErr w:type="spellStart"/>
                            <w:r w:rsidRPr="00CD6287">
                              <w:rPr>
                                <w:rFonts w:asciiTheme="majorHAnsi" w:hAnsiTheme="majorHAnsi" w:cstheme="majorHAnsi"/>
                                <w:color w:val="2F4718"/>
                              </w:rPr>
                              <w:t>nourrisson</w:t>
                            </w:r>
                            <w:proofErr w:type="spellEnd"/>
                            <w:r w:rsidRPr="00CD6287">
                              <w:rPr>
                                <w:rFonts w:asciiTheme="majorHAnsi" w:hAnsiTheme="majorHAnsi" w:cstheme="majorHAnsi"/>
                                <w:color w:val="2F47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DA5DE" id="_x0000_t202" coordsize="21600,21600" o:spt="202" path="m,l,21600r21600,l21600,xe">
                <v:stroke joinstyle="miter"/>
                <v:path gradientshapeok="t" o:connecttype="rect"/>
              </v:shapetype>
              <v:shape id="Text Box 1" o:spid="_x0000_s1026" type="#_x0000_t202" style="position:absolute;left:0;text-align:left;margin-left:-16.05pt;margin-top:66.85pt;width:559.2pt;height:25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" filled="f" strokecolor="#3e5f1c" strokeweight="6pt">
                <v:textbox>
                  <w:txbxContent>
                    <w:p w14:paraId="12331EA5" w14:textId="77777777" w:rsidR="00060723" w:rsidRPr="00F15A33" w:rsidRDefault="00060723" w:rsidP="001E674F">
                      <w:pPr>
                        <w:tabs>
                          <w:tab w:val="left" w:pos="2694"/>
                        </w:tabs>
                        <w:spacing w:after="0" w:line="240" w:lineRule="auto"/>
                        <w:ind w:right="23"/>
                        <w:rPr>
                          <w:rFonts w:ascii="Arial" w:hAnsi="Arial" w:cs="Arial"/>
                          <w:color w:val="2F4718"/>
                          <w:sz w:val="10"/>
                          <w:szCs w:val="10"/>
                        </w:rPr>
                      </w:pPr>
                    </w:p>
                    <w:p w14:paraId="287EEEA2" w14:textId="4798D8DA" w:rsidR="001E674F" w:rsidRPr="00F15A33" w:rsidRDefault="00A210A4" w:rsidP="00F15A33">
                      <w:pPr>
                        <w:tabs>
                          <w:tab w:val="left" w:pos="2694"/>
                        </w:tabs>
                        <w:spacing w:after="0" w:line="240" w:lineRule="auto"/>
                        <w:ind w:right="23"/>
                        <w:jc w:val="both"/>
                        <w:rPr>
                          <w:rFonts w:asciiTheme="majorHAnsi" w:hAnsiTheme="majorHAnsi" w:cstheme="majorHAnsi"/>
                          <w:color w:val="2F4718"/>
                        </w:rPr>
                      </w:pPr>
                      <w:r w:rsidRPr="000F6EF3">
                        <w:rPr>
                          <w:rFonts w:asciiTheme="majorHAnsi" w:hAnsiTheme="majorHAnsi" w:cstheme="majorHAnsi"/>
                          <w:color w:val="2F4718"/>
                          <w:lang w:val="fr-FR"/>
                        </w:rPr>
                        <w:t xml:space="preserve">Lors d'une épidémie de </w:t>
                      </w:r>
                      <w:proofErr w:type="spellStart"/>
                      <w:r w:rsidRPr="000F6EF3">
                        <w:rPr>
                          <w:rFonts w:asciiTheme="majorHAnsi" w:hAnsiTheme="majorHAnsi" w:cstheme="majorHAnsi"/>
                          <w:color w:val="2F4718"/>
                          <w:lang w:val="fr-FR"/>
                        </w:rPr>
                        <w:t>Mpox</w:t>
                      </w:r>
                      <w:proofErr w:type="spellEnd"/>
                      <w:r w:rsidRPr="000F6EF3">
                        <w:rPr>
                          <w:rFonts w:asciiTheme="majorHAnsi" w:hAnsiTheme="majorHAnsi" w:cstheme="majorHAnsi"/>
                          <w:color w:val="2F4718"/>
                          <w:lang w:val="fr-FR"/>
                        </w:rPr>
                        <w:t xml:space="preserve">, les enfants de la naissance jusqu'à deux ans, et en particulier de la naissance à six mois, ainsi que les femmes enceintes, sont particulièrement vulnérables à la malnutrition, aux maladies et même à la mort. </w:t>
                      </w:r>
                      <w:r w:rsidRPr="000F6EF3">
                        <w:rPr>
                          <w:rFonts w:asciiTheme="majorHAnsi" w:hAnsiTheme="majorHAnsi" w:cstheme="majorHAnsi"/>
                          <w:b/>
                          <w:bCs/>
                          <w:color w:val="2F4718"/>
                          <w:lang w:val="fr-FR"/>
                        </w:rPr>
                        <w:t xml:space="preserve">Les pratiques ANJE recommandées </w:t>
                      </w:r>
                      <w:r w:rsidRPr="000F6EF3">
                        <w:rPr>
                          <w:rFonts w:asciiTheme="majorHAnsi" w:hAnsiTheme="majorHAnsi" w:cstheme="majorHAnsi"/>
                          <w:color w:val="2F4718"/>
                          <w:lang w:val="fr-FR"/>
                        </w:rPr>
                        <w:t xml:space="preserve">au niveau mondial protègent la santé et le bien-être des enfants et sont particulièrement pertinentes en situation d'urgence. </w:t>
                      </w:r>
                      <w:r w:rsidRPr="001E730F">
                        <w:rPr>
                          <w:rFonts w:asciiTheme="majorHAnsi" w:hAnsiTheme="majorHAnsi" w:cstheme="majorHAnsi"/>
                          <w:b/>
                          <w:bCs/>
                          <w:color w:val="2F4718"/>
                        </w:rPr>
                        <w:t xml:space="preserve">Les pratiques </w:t>
                      </w:r>
                      <w:proofErr w:type="spellStart"/>
                      <w:r w:rsidRPr="001E730F">
                        <w:rPr>
                          <w:rFonts w:asciiTheme="majorHAnsi" w:hAnsiTheme="majorHAnsi" w:cstheme="majorHAnsi"/>
                          <w:b/>
                          <w:bCs/>
                          <w:color w:val="2F4718"/>
                        </w:rPr>
                        <w:t>recommandées</w:t>
                      </w:r>
                      <w:proofErr w:type="spellEnd"/>
                      <w:r w:rsidRPr="00A210A4">
                        <w:rPr>
                          <w:rFonts w:asciiTheme="majorHAnsi" w:hAnsiTheme="majorHAnsi" w:cstheme="majorHAnsi"/>
                          <w:color w:val="2F4718"/>
                        </w:rPr>
                        <w:t xml:space="preserve"> </w:t>
                      </w:r>
                      <w:proofErr w:type="spellStart"/>
                      <w:proofErr w:type="gramStart"/>
                      <w:r w:rsidRPr="00A210A4">
                        <w:rPr>
                          <w:rFonts w:asciiTheme="majorHAnsi" w:hAnsiTheme="majorHAnsi" w:cstheme="majorHAnsi"/>
                          <w:color w:val="2F4718"/>
                        </w:rPr>
                        <w:t>incluent</w:t>
                      </w:r>
                      <w:proofErr w:type="spellEnd"/>
                      <w:r w:rsidR="00FD357F">
                        <w:rPr>
                          <w:rFonts w:asciiTheme="majorHAnsi" w:hAnsiTheme="majorHAnsi" w:cstheme="majorHAnsi"/>
                          <w:color w:val="2F4718"/>
                        </w:rPr>
                        <w:t xml:space="preserve"> </w:t>
                      </w:r>
                      <w:r w:rsidR="00AB409F" w:rsidRPr="00F15A33">
                        <w:rPr>
                          <w:rFonts w:asciiTheme="majorHAnsi" w:hAnsiTheme="majorHAnsi" w:cstheme="majorHAnsi"/>
                          <w:color w:val="2F4718"/>
                        </w:rPr>
                        <w:t>:</w:t>
                      </w:r>
                      <w:proofErr w:type="gramEnd"/>
                      <w:r w:rsidR="001E674F" w:rsidRPr="00F15A33">
                        <w:rPr>
                          <w:rFonts w:asciiTheme="majorHAnsi" w:hAnsiTheme="majorHAnsi" w:cstheme="majorHAnsi"/>
                          <w:color w:val="2F4718"/>
                        </w:rPr>
                        <w:t xml:space="preserve"> </w:t>
                      </w:r>
                    </w:p>
                    <w:p w14:paraId="374F71DD" w14:textId="77777777" w:rsidR="00F144F4" w:rsidRPr="00F15A33" w:rsidRDefault="00F144F4" w:rsidP="00F15A33">
                      <w:pPr>
                        <w:tabs>
                          <w:tab w:val="left" w:pos="2694"/>
                        </w:tabs>
                        <w:spacing w:after="0" w:line="240" w:lineRule="auto"/>
                        <w:ind w:right="23"/>
                        <w:jc w:val="both"/>
                        <w:rPr>
                          <w:rFonts w:asciiTheme="majorHAnsi" w:hAnsiTheme="majorHAnsi" w:cstheme="majorHAnsi"/>
                          <w:color w:val="2F4718"/>
                        </w:rPr>
                      </w:pPr>
                    </w:p>
                    <w:p w14:paraId="6736DD7A" w14:textId="688E4528" w:rsidR="0066384A" w:rsidRPr="000F6EF3" w:rsidRDefault="00A210A4" w:rsidP="005C0EA0">
                      <w:pPr>
                        <w:pStyle w:val="ListParagraph"/>
                        <w:numPr>
                          <w:ilvl w:val="0"/>
                          <w:numId w:val="5"/>
                        </w:numPr>
                        <w:tabs>
                          <w:tab w:val="left" w:pos="2694"/>
                        </w:tabs>
                        <w:spacing w:after="0" w:line="240" w:lineRule="auto"/>
                        <w:ind w:left="851" w:right="57" w:hanging="227"/>
                        <w:jc w:val="both"/>
                        <w:rPr>
                          <w:rFonts w:asciiTheme="majorHAnsi" w:hAnsiTheme="majorHAnsi" w:cstheme="majorHAnsi"/>
                          <w:bCs/>
                          <w:color w:val="2F4718"/>
                          <w:lang w:val="fr-FR"/>
                        </w:rPr>
                      </w:pPr>
                      <w:r w:rsidRPr="000F6EF3">
                        <w:rPr>
                          <w:rFonts w:asciiTheme="majorHAnsi" w:hAnsiTheme="majorHAnsi" w:cstheme="majorHAnsi"/>
                          <w:b/>
                          <w:color w:val="2F4718"/>
                          <w:lang w:val="fr-FR"/>
                        </w:rPr>
                        <w:t xml:space="preserve">Initiation précoce de l'allaitement </w:t>
                      </w:r>
                      <w:r w:rsidRPr="000F6EF3">
                        <w:rPr>
                          <w:rFonts w:asciiTheme="majorHAnsi" w:hAnsiTheme="majorHAnsi" w:cstheme="majorHAnsi"/>
                          <w:bCs/>
                          <w:color w:val="2F4718"/>
                          <w:lang w:val="fr-FR"/>
                        </w:rPr>
                        <w:t>(mettre le bébé au sein dans l'heure suivant la naissance</w:t>
                      </w:r>
                      <w:r w:rsidR="00B702E9" w:rsidRPr="000F6EF3">
                        <w:rPr>
                          <w:rFonts w:asciiTheme="majorHAnsi" w:hAnsiTheme="majorHAnsi" w:cstheme="majorHAnsi"/>
                          <w:bCs/>
                          <w:color w:val="2F4718"/>
                          <w:lang w:val="fr-FR"/>
                        </w:rPr>
                        <w:t>) ;</w:t>
                      </w:r>
                      <w:r w:rsidR="001E674F" w:rsidRPr="000F6EF3">
                        <w:rPr>
                          <w:rFonts w:asciiTheme="majorHAnsi" w:hAnsiTheme="majorHAnsi" w:cstheme="majorHAnsi"/>
                          <w:bCs/>
                          <w:color w:val="2F4718"/>
                          <w:lang w:val="fr-FR"/>
                        </w:rPr>
                        <w:t xml:space="preserve"> </w:t>
                      </w:r>
                    </w:p>
                    <w:p w14:paraId="598B7E04" w14:textId="58695A24" w:rsidR="0066384A" w:rsidRPr="00BD39B7" w:rsidRDefault="00A210A4" w:rsidP="005C0EA0">
                      <w:pPr>
                        <w:pStyle w:val="ListParagraph"/>
                        <w:numPr>
                          <w:ilvl w:val="0"/>
                          <w:numId w:val="5"/>
                        </w:numPr>
                        <w:tabs>
                          <w:tab w:val="left" w:pos="2694"/>
                        </w:tabs>
                        <w:spacing w:after="0" w:line="240" w:lineRule="auto"/>
                        <w:ind w:left="851" w:right="57" w:hanging="227"/>
                        <w:jc w:val="both"/>
                        <w:rPr>
                          <w:rFonts w:asciiTheme="majorHAnsi" w:hAnsiTheme="majorHAnsi" w:cstheme="majorHAnsi"/>
                          <w:color w:val="2F4718"/>
                          <w:spacing w:val="-8"/>
                          <w:lang w:val="fr-FR"/>
                        </w:rPr>
                      </w:pPr>
                      <w:r w:rsidRPr="00BD39B7">
                        <w:rPr>
                          <w:rFonts w:asciiTheme="majorHAnsi" w:hAnsiTheme="majorHAnsi" w:cstheme="majorHAnsi"/>
                          <w:b/>
                          <w:color w:val="2F4718"/>
                          <w:spacing w:val="-8"/>
                          <w:lang w:val="fr-FR"/>
                        </w:rPr>
                        <w:t xml:space="preserve">Allaitement exclusif pendant les 6 premiers mois </w:t>
                      </w:r>
                      <w:r w:rsidRPr="00BD39B7">
                        <w:rPr>
                          <w:rFonts w:asciiTheme="majorHAnsi" w:hAnsiTheme="majorHAnsi" w:cstheme="majorHAnsi"/>
                          <w:bCs/>
                          <w:color w:val="2F4718"/>
                          <w:spacing w:val="-8"/>
                          <w:lang w:val="fr-FR"/>
                        </w:rPr>
                        <w:t>(aucun aliment ni liquide autre que le lait maternel, même pas d'eau)</w:t>
                      </w:r>
                      <w:r w:rsidR="00BD39B7" w:rsidRPr="00BD39B7">
                        <w:rPr>
                          <w:rFonts w:asciiTheme="majorHAnsi" w:hAnsiTheme="majorHAnsi" w:cstheme="majorHAnsi"/>
                          <w:bCs/>
                          <w:color w:val="2F4718"/>
                          <w:spacing w:val="-8"/>
                          <w:lang w:val="fr-FR"/>
                        </w:rPr>
                        <w:t xml:space="preserve"> </w:t>
                      </w:r>
                      <w:r w:rsidR="001E674F" w:rsidRPr="00BD39B7">
                        <w:rPr>
                          <w:rFonts w:asciiTheme="majorHAnsi" w:hAnsiTheme="majorHAnsi" w:cstheme="majorHAnsi"/>
                          <w:color w:val="2F4718"/>
                          <w:spacing w:val="-8"/>
                          <w:lang w:val="fr-FR"/>
                        </w:rPr>
                        <w:t xml:space="preserve">; </w:t>
                      </w:r>
                    </w:p>
                    <w:p w14:paraId="3C0C7E6E" w14:textId="77777777" w:rsidR="00A210A4" w:rsidRPr="000F6EF3" w:rsidRDefault="00A210A4" w:rsidP="005C0EA0">
                      <w:pPr>
                        <w:pStyle w:val="ListParagraph"/>
                        <w:numPr>
                          <w:ilvl w:val="0"/>
                          <w:numId w:val="5"/>
                        </w:numPr>
                        <w:tabs>
                          <w:tab w:val="left" w:pos="2694"/>
                        </w:tabs>
                        <w:spacing w:after="0" w:line="240" w:lineRule="auto"/>
                        <w:ind w:left="851" w:right="57" w:hanging="227"/>
                        <w:jc w:val="both"/>
                        <w:rPr>
                          <w:rFonts w:asciiTheme="majorHAnsi" w:hAnsiTheme="majorHAnsi" w:cstheme="majorHAnsi"/>
                          <w:color w:val="2F4718"/>
                          <w:lang w:val="fr-FR"/>
                        </w:rPr>
                      </w:pPr>
                      <w:r w:rsidRPr="000F6EF3">
                        <w:rPr>
                          <w:rFonts w:asciiTheme="majorHAnsi" w:hAnsiTheme="majorHAnsi" w:cstheme="majorHAnsi"/>
                          <w:color w:val="2F4718"/>
                          <w:lang w:val="fr-FR"/>
                        </w:rPr>
                        <w:t xml:space="preserve">Introduction </w:t>
                      </w:r>
                      <w:r w:rsidRPr="000F6EF3">
                        <w:rPr>
                          <w:rFonts w:asciiTheme="majorHAnsi" w:hAnsiTheme="majorHAnsi" w:cstheme="majorHAnsi"/>
                          <w:b/>
                          <w:bCs/>
                          <w:color w:val="2F4718"/>
                          <w:lang w:val="fr-FR"/>
                        </w:rPr>
                        <w:t>d'aliments complémentaires sûrs</w:t>
                      </w:r>
                      <w:r w:rsidRPr="000F6EF3">
                        <w:rPr>
                          <w:rFonts w:asciiTheme="majorHAnsi" w:hAnsiTheme="majorHAnsi" w:cstheme="majorHAnsi"/>
                          <w:color w:val="2F4718"/>
                          <w:lang w:val="fr-FR"/>
                        </w:rPr>
                        <w:t xml:space="preserve"> et nutritionnellement adéquats (aliments solides et semi-solides appropriés) à partir de 6 mois ; et</w:t>
                      </w:r>
                    </w:p>
                    <w:p w14:paraId="1D56BD7E" w14:textId="0619BC9D" w:rsidR="0066384A" w:rsidRPr="000F6EF3" w:rsidRDefault="00A210A4" w:rsidP="005C0EA0">
                      <w:pPr>
                        <w:pStyle w:val="ListParagraph"/>
                        <w:numPr>
                          <w:ilvl w:val="0"/>
                          <w:numId w:val="5"/>
                        </w:numPr>
                        <w:tabs>
                          <w:tab w:val="left" w:pos="2694"/>
                        </w:tabs>
                        <w:spacing w:after="0" w:line="240" w:lineRule="auto"/>
                        <w:ind w:left="851" w:right="57" w:hanging="227"/>
                        <w:jc w:val="both"/>
                        <w:rPr>
                          <w:rFonts w:asciiTheme="majorHAnsi" w:hAnsiTheme="majorHAnsi" w:cstheme="majorHAnsi"/>
                          <w:color w:val="2F4718"/>
                          <w:lang w:val="fr-FR"/>
                        </w:rPr>
                      </w:pPr>
                      <w:r w:rsidRPr="000F6EF3">
                        <w:rPr>
                          <w:rFonts w:asciiTheme="majorHAnsi" w:hAnsiTheme="majorHAnsi" w:cstheme="majorHAnsi"/>
                          <w:b/>
                          <w:color w:val="2F4718"/>
                          <w:lang w:val="fr-FR"/>
                        </w:rPr>
                        <w:t xml:space="preserve">Poursuite de l'allaitement </w:t>
                      </w:r>
                      <w:r w:rsidRPr="000F6EF3">
                        <w:rPr>
                          <w:rFonts w:asciiTheme="majorHAnsi" w:hAnsiTheme="majorHAnsi" w:cstheme="majorHAnsi"/>
                          <w:bCs/>
                          <w:color w:val="2F4718"/>
                          <w:lang w:val="fr-FR"/>
                        </w:rPr>
                        <w:t>pendant 2 ans et au-delà</w:t>
                      </w:r>
                      <w:r w:rsidR="001E674F" w:rsidRPr="000F6EF3">
                        <w:rPr>
                          <w:rFonts w:asciiTheme="majorHAnsi" w:hAnsiTheme="majorHAnsi" w:cstheme="majorHAnsi"/>
                          <w:color w:val="2F4718"/>
                          <w:lang w:val="fr-FR"/>
                        </w:rPr>
                        <w:t>.</w:t>
                      </w:r>
                    </w:p>
                    <w:p w14:paraId="678425A1" w14:textId="77777777" w:rsidR="00F00B24" w:rsidRPr="000F6EF3" w:rsidRDefault="00F00B24" w:rsidP="00F00B24">
                      <w:pPr>
                        <w:pStyle w:val="ListParagraph"/>
                        <w:tabs>
                          <w:tab w:val="left" w:pos="2694"/>
                        </w:tabs>
                        <w:spacing w:after="0" w:line="240" w:lineRule="auto"/>
                        <w:ind w:left="1080" w:right="23"/>
                        <w:jc w:val="both"/>
                        <w:rPr>
                          <w:rFonts w:asciiTheme="majorHAnsi" w:hAnsiTheme="majorHAnsi" w:cstheme="majorHAnsi"/>
                          <w:color w:val="2F4718"/>
                          <w:lang w:val="fr-FR"/>
                        </w:rPr>
                      </w:pPr>
                    </w:p>
                    <w:p w14:paraId="730043BB" w14:textId="0FDCA181" w:rsidR="0066384A" w:rsidRPr="00035AC7" w:rsidRDefault="00A210A4" w:rsidP="00F15A33">
                      <w:pPr>
                        <w:tabs>
                          <w:tab w:val="left" w:pos="900"/>
                          <w:tab w:val="left" w:pos="2694"/>
                        </w:tabs>
                        <w:spacing w:after="0" w:line="240" w:lineRule="auto"/>
                        <w:ind w:right="23"/>
                        <w:jc w:val="both"/>
                        <w:rPr>
                          <w:rFonts w:asciiTheme="majorHAnsi" w:hAnsiTheme="majorHAnsi" w:cstheme="majorHAnsi"/>
                          <w:color w:val="2F4718"/>
                          <w:spacing w:val="-4"/>
                          <w:lang w:val="fr-FR"/>
                        </w:rPr>
                      </w:pPr>
                      <w:r w:rsidRPr="00035AC7">
                        <w:rPr>
                          <w:rFonts w:asciiTheme="majorHAnsi" w:hAnsiTheme="majorHAnsi" w:cstheme="majorHAnsi"/>
                          <w:color w:val="2F4718"/>
                          <w:spacing w:val="-4"/>
                          <w:lang w:val="fr-FR"/>
                        </w:rPr>
                        <w:t xml:space="preserve">Dans le contexte de la </w:t>
                      </w:r>
                      <w:proofErr w:type="spellStart"/>
                      <w:r w:rsidRPr="00035AC7">
                        <w:rPr>
                          <w:rFonts w:asciiTheme="majorHAnsi" w:hAnsiTheme="majorHAnsi" w:cstheme="majorHAnsi"/>
                          <w:color w:val="2F4718"/>
                          <w:spacing w:val="-4"/>
                          <w:lang w:val="fr-FR"/>
                        </w:rPr>
                        <w:t>Mpox</w:t>
                      </w:r>
                      <w:proofErr w:type="spellEnd"/>
                      <w:r w:rsidRPr="00035AC7">
                        <w:rPr>
                          <w:rFonts w:asciiTheme="majorHAnsi" w:hAnsiTheme="majorHAnsi" w:cstheme="majorHAnsi"/>
                          <w:color w:val="2F4718"/>
                          <w:spacing w:val="-4"/>
                          <w:lang w:val="fr-FR"/>
                        </w:rPr>
                        <w:t xml:space="preserve">, </w:t>
                      </w:r>
                      <w:r w:rsidRPr="00035AC7">
                        <w:rPr>
                          <w:rFonts w:asciiTheme="majorHAnsi" w:hAnsiTheme="majorHAnsi" w:cstheme="majorHAnsi"/>
                          <w:b/>
                          <w:bCs/>
                          <w:color w:val="2F4718"/>
                          <w:spacing w:val="-4"/>
                          <w:lang w:val="fr-FR"/>
                        </w:rPr>
                        <w:t>les pratiques recommandées ANJE doivent être protégées, promues et soutenues</w:t>
                      </w:r>
                      <w:r w:rsidRPr="00035AC7">
                        <w:rPr>
                          <w:rFonts w:asciiTheme="majorHAnsi" w:hAnsiTheme="majorHAnsi" w:cstheme="majorHAnsi"/>
                          <w:color w:val="2F4718"/>
                          <w:spacing w:val="-4"/>
                          <w:lang w:val="fr-FR"/>
                        </w:rPr>
                        <w:t xml:space="preserve"> tout en appliquant des mesures appropriées de prévention et de contrôle des infections (PCI) lors de l'alimentation, des soins et des contacts avec le nourrisson et le jeune enfant, conformément aux directives actuelles sur l'ANJE dans le contexte de la </w:t>
                      </w:r>
                      <w:proofErr w:type="spellStart"/>
                      <w:r w:rsidR="005F589B" w:rsidRPr="00035AC7">
                        <w:rPr>
                          <w:rFonts w:asciiTheme="majorHAnsi" w:hAnsiTheme="majorHAnsi" w:cstheme="majorHAnsi"/>
                          <w:color w:val="2F4718"/>
                          <w:spacing w:val="-4"/>
                          <w:lang w:val="fr-FR"/>
                        </w:rPr>
                        <w:t>Mpox</w:t>
                      </w:r>
                      <w:proofErr w:type="spellEnd"/>
                      <w:r w:rsidRPr="00035AC7">
                        <w:rPr>
                          <w:rFonts w:asciiTheme="majorHAnsi" w:hAnsiTheme="majorHAnsi" w:cstheme="majorHAnsi"/>
                          <w:color w:val="2F4718"/>
                          <w:spacing w:val="-4"/>
                          <w:lang w:val="fr-FR"/>
                        </w:rPr>
                        <w:t>.</w:t>
                      </w:r>
                    </w:p>
                    <w:p w14:paraId="241D98A3" w14:textId="77777777" w:rsidR="00A210A4" w:rsidRPr="000F6EF3" w:rsidRDefault="00A210A4" w:rsidP="00F15A33">
                      <w:pPr>
                        <w:tabs>
                          <w:tab w:val="left" w:pos="900"/>
                          <w:tab w:val="left" w:pos="2694"/>
                        </w:tabs>
                        <w:spacing w:after="0" w:line="240" w:lineRule="auto"/>
                        <w:ind w:right="23"/>
                        <w:jc w:val="both"/>
                        <w:rPr>
                          <w:rFonts w:asciiTheme="majorHAnsi" w:hAnsiTheme="majorHAnsi" w:cstheme="majorHAnsi"/>
                          <w:color w:val="2F4718"/>
                          <w:lang w:val="fr-FR"/>
                        </w:rPr>
                      </w:pPr>
                    </w:p>
                    <w:p w14:paraId="3FCEBB31" w14:textId="4DF15EFB" w:rsidR="0066384A" w:rsidRPr="000F6EF3" w:rsidRDefault="00CD6287" w:rsidP="00CD6287">
                      <w:pPr>
                        <w:tabs>
                          <w:tab w:val="left" w:pos="900"/>
                          <w:tab w:val="left" w:pos="2694"/>
                        </w:tabs>
                        <w:spacing w:after="0" w:line="240" w:lineRule="auto"/>
                        <w:ind w:right="23"/>
                        <w:jc w:val="both"/>
                        <w:rPr>
                          <w:rFonts w:asciiTheme="majorHAnsi" w:hAnsiTheme="majorHAnsi" w:cstheme="majorHAnsi"/>
                          <w:noProof/>
                          <w:color w:val="2F4718"/>
                          <w:lang w:val="fr-FR"/>
                        </w:rPr>
                      </w:pPr>
                      <w:r w:rsidRPr="00CD6287">
                        <w:rPr>
                          <w:rFonts w:asciiTheme="majorHAnsi" w:hAnsiTheme="majorHAnsi" w:cstheme="majorHAnsi"/>
                          <w:color w:val="2F4718"/>
                        </w:rPr>
                        <w:t xml:space="preserve">Il faut accorder plus </w:t>
                      </w:r>
                      <w:proofErr w:type="spellStart"/>
                      <w:r w:rsidRPr="00CD6287">
                        <w:rPr>
                          <w:rFonts w:asciiTheme="majorHAnsi" w:hAnsiTheme="majorHAnsi" w:cstheme="majorHAnsi"/>
                          <w:color w:val="2F4718"/>
                        </w:rPr>
                        <w:t>d'attention</w:t>
                      </w:r>
                      <w:proofErr w:type="spellEnd"/>
                      <w:r w:rsidRPr="00CD6287">
                        <w:rPr>
                          <w:rFonts w:asciiTheme="majorHAnsi" w:hAnsiTheme="majorHAnsi" w:cstheme="majorHAnsi"/>
                          <w:color w:val="2F4718"/>
                        </w:rPr>
                        <w:t xml:space="preserve"> aux </w:t>
                      </w:r>
                      <w:proofErr w:type="spellStart"/>
                      <w:r w:rsidRPr="00CD6287">
                        <w:rPr>
                          <w:rFonts w:asciiTheme="majorHAnsi" w:hAnsiTheme="majorHAnsi" w:cstheme="majorHAnsi"/>
                          <w:color w:val="2F4718"/>
                        </w:rPr>
                        <w:t>risques</w:t>
                      </w:r>
                      <w:proofErr w:type="spellEnd"/>
                      <w:r w:rsidRPr="00CD6287">
                        <w:rPr>
                          <w:rFonts w:asciiTheme="majorHAnsi" w:hAnsiTheme="majorHAnsi" w:cstheme="majorHAnsi"/>
                          <w:color w:val="2F4718"/>
                        </w:rPr>
                        <w:t xml:space="preserve"> </w:t>
                      </w:r>
                      <w:proofErr w:type="spellStart"/>
                      <w:r w:rsidRPr="00CD6287">
                        <w:rPr>
                          <w:rFonts w:asciiTheme="majorHAnsi" w:hAnsiTheme="majorHAnsi" w:cstheme="majorHAnsi"/>
                          <w:color w:val="2F4718"/>
                        </w:rPr>
                        <w:t>connus</w:t>
                      </w:r>
                      <w:proofErr w:type="spellEnd"/>
                      <w:r w:rsidRPr="00CD6287">
                        <w:rPr>
                          <w:rFonts w:asciiTheme="majorHAnsi" w:hAnsiTheme="majorHAnsi" w:cstheme="majorHAnsi"/>
                          <w:color w:val="2F4718"/>
                        </w:rPr>
                        <w:t xml:space="preserve"> </w:t>
                      </w:r>
                      <w:proofErr w:type="spellStart"/>
                      <w:r w:rsidRPr="00CD6287">
                        <w:rPr>
                          <w:rFonts w:asciiTheme="majorHAnsi" w:hAnsiTheme="majorHAnsi" w:cstheme="majorHAnsi"/>
                          <w:color w:val="2F4718"/>
                        </w:rPr>
                        <w:t>liés</w:t>
                      </w:r>
                      <w:proofErr w:type="spellEnd"/>
                      <w:r w:rsidRPr="00CD6287">
                        <w:rPr>
                          <w:rFonts w:asciiTheme="majorHAnsi" w:hAnsiTheme="majorHAnsi" w:cstheme="majorHAnsi"/>
                          <w:color w:val="2F4718"/>
                        </w:rPr>
                        <w:t xml:space="preserve"> à </w:t>
                      </w:r>
                      <w:proofErr w:type="spellStart"/>
                      <w:r w:rsidRPr="00CD6287">
                        <w:rPr>
                          <w:rFonts w:asciiTheme="majorHAnsi" w:hAnsiTheme="majorHAnsi" w:cstheme="majorHAnsi"/>
                          <w:color w:val="2F4718"/>
                        </w:rPr>
                        <w:t>l'arrêt</w:t>
                      </w:r>
                      <w:proofErr w:type="spellEnd"/>
                      <w:r w:rsidRPr="00CD6287">
                        <w:rPr>
                          <w:rFonts w:asciiTheme="majorHAnsi" w:hAnsiTheme="majorHAnsi" w:cstheme="majorHAnsi"/>
                          <w:color w:val="2F4718"/>
                        </w:rPr>
                        <w:t xml:space="preserve"> de </w:t>
                      </w:r>
                      <w:proofErr w:type="spellStart"/>
                      <w:r w:rsidRPr="00CD6287">
                        <w:rPr>
                          <w:rFonts w:asciiTheme="majorHAnsi" w:hAnsiTheme="majorHAnsi" w:cstheme="majorHAnsi"/>
                          <w:color w:val="2F4718"/>
                        </w:rPr>
                        <w:t>l'allaitement</w:t>
                      </w:r>
                      <w:proofErr w:type="spellEnd"/>
                      <w:r w:rsidRPr="00CD6287">
                        <w:rPr>
                          <w:rFonts w:asciiTheme="majorHAnsi" w:hAnsiTheme="majorHAnsi" w:cstheme="majorHAnsi"/>
                          <w:color w:val="2F4718"/>
                        </w:rPr>
                        <w:t xml:space="preserve"> et au stress </w:t>
                      </w:r>
                      <w:proofErr w:type="spellStart"/>
                      <w:r w:rsidRPr="00CD6287">
                        <w:rPr>
                          <w:rFonts w:asciiTheme="majorHAnsi" w:hAnsiTheme="majorHAnsi" w:cstheme="majorHAnsi"/>
                          <w:color w:val="2F4718"/>
                        </w:rPr>
                        <w:t>causé</w:t>
                      </w:r>
                      <w:proofErr w:type="spellEnd"/>
                      <w:r w:rsidRPr="00CD6287">
                        <w:rPr>
                          <w:rFonts w:asciiTheme="majorHAnsi" w:hAnsiTheme="majorHAnsi" w:cstheme="majorHAnsi"/>
                          <w:color w:val="2F4718"/>
                        </w:rPr>
                        <w:t xml:space="preserve"> </w:t>
                      </w:r>
                      <w:proofErr w:type="spellStart"/>
                      <w:r w:rsidRPr="00CD6287">
                        <w:rPr>
                          <w:rFonts w:asciiTheme="majorHAnsi" w:hAnsiTheme="majorHAnsi" w:cstheme="majorHAnsi"/>
                          <w:color w:val="2F4718"/>
                        </w:rPr>
                        <w:t>par</w:t>
                      </w:r>
                      <w:proofErr w:type="spellEnd"/>
                      <w:r w:rsidRPr="00CD6287">
                        <w:rPr>
                          <w:rFonts w:asciiTheme="majorHAnsi" w:hAnsiTheme="majorHAnsi" w:cstheme="majorHAnsi"/>
                          <w:color w:val="2F4718"/>
                        </w:rPr>
                        <w:t xml:space="preserve"> la </w:t>
                      </w:r>
                      <w:proofErr w:type="spellStart"/>
                      <w:r w:rsidRPr="00CD6287">
                        <w:rPr>
                          <w:rFonts w:asciiTheme="majorHAnsi" w:hAnsiTheme="majorHAnsi" w:cstheme="majorHAnsi"/>
                          <w:color w:val="2F4718"/>
                        </w:rPr>
                        <w:t>séparation</w:t>
                      </w:r>
                      <w:proofErr w:type="spellEnd"/>
                      <w:r w:rsidRPr="00CD6287">
                        <w:rPr>
                          <w:rFonts w:asciiTheme="majorHAnsi" w:hAnsiTheme="majorHAnsi" w:cstheme="majorHAnsi"/>
                          <w:color w:val="2F4718"/>
                        </w:rPr>
                        <w:t xml:space="preserve"> </w:t>
                      </w:r>
                      <w:proofErr w:type="spellStart"/>
                      <w:r w:rsidRPr="00CD6287">
                        <w:rPr>
                          <w:rFonts w:asciiTheme="majorHAnsi" w:hAnsiTheme="majorHAnsi" w:cstheme="majorHAnsi"/>
                          <w:color w:val="2F4718"/>
                        </w:rPr>
                        <w:t>mère-bébé</w:t>
                      </w:r>
                      <w:proofErr w:type="spellEnd"/>
                      <w:r w:rsidRPr="00CD6287">
                        <w:rPr>
                          <w:rFonts w:asciiTheme="majorHAnsi" w:hAnsiTheme="majorHAnsi" w:cstheme="majorHAnsi"/>
                          <w:color w:val="2F4718"/>
                        </w:rPr>
                        <w:t xml:space="preserve">, par rapport au </w:t>
                      </w:r>
                      <w:proofErr w:type="spellStart"/>
                      <w:r w:rsidRPr="00CD6287">
                        <w:rPr>
                          <w:rFonts w:asciiTheme="majorHAnsi" w:hAnsiTheme="majorHAnsi" w:cstheme="majorHAnsi"/>
                          <w:color w:val="2F4718"/>
                        </w:rPr>
                        <w:t>risque</w:t>
                      </w:r>
                      <w:proofErr w:type="spellEnd"/>
                      <w:r w:rsidRPr="00CD6287">
                        <w:rPr>
                          <w:rFonts w:asciiTheme="majorHAnsi" w:hAnsiTheme="majorHAnsi" w:cstheme="majorHAnsi"/>
                          <w:color w:val="2F4718"/>
                        </w:rPr>
                        <w:t xml:space="preserve"> </w:t>
                      </w:r>
                      <w:proofErr w:type="spellStart"/>
                      <w:r w:rsidRPr="00CD6287">
                        <w:rPr>
                          <w:rFonts w:asciiTheme="majorHAnsi" w:hAnsiTheme="majorHAnsi" w:cstheme="majorHAnsi"/>
                          <w:color w:val="2F4718"/>
                        </w:rPr>
                        <w:t>potentiel</w:t>
                      </w:r>
                      <w:proofErr w:type="spellEnd"/>
                      <w:r w:rsidRPr="00CD6287">
                        <w:rPr>
                          <w:rFonts w:asciiTheme="majorHAnsi" w:hAnsiTheme="majorHAnsi" w:cstheme="majorHAnsi"/>
                          <w:color w:val="2F4718"/>
                        </w:rPr>
                        <w:t xml:space="preserve"> </w:t>
                      </w:r>
                      <w:proofErr w:type="spellStart"/>
                      <w:r w:rsidRPr="00CD6287">
                        <w:rPr>
                          <w:rFonts w:asciiTheme="majorHAnsi" w:hAnsiTheme="majorHAnsi" w:cstheme="majorHAnsi"/>
                          <w:color w:val="2F4718"/>
                        </w:rPr>
                        <w:t>mais</w:t>
                      </w:r>
                      <w:proofErr w:type="spellEnd"/>
                      <w:r w:rsidRPr="00CD6287">
                        <w:rPr>
                          <w:rFonts w:asciiTheme="majorHAnsi" w:hAnsiTheme="majorHAnsi" w:cstheme="majorHAnsi"/>
                          <w:color w:val="2F4718"/>
                        </w:rPr>
                        <w:t xml:space="preserve"> </w:t>
                      </w:r>
                      <w:proofErr w:type="spellStart"/>
                      <w:r w:rsidRPr="00CD6287">
                        <w:rPr>
                          <w:rFonts w:asciiTheme="majorHAnsi" w:hAnsiTheme="majorHAnsi" w:cstheme="majorHAnsi"/>
                          <w:color w:val="2F4718"/>
                        </w:rPr>
                        <w:t>incertain</w:t>
                      </w:r>
                      <w:proofErr w:type="spellEnd"/>
                      <w:r w:rsidRPr="00CD6287">
                        <w:rPr>
                          <w:rFonts w:asciiTheme="majorHAnsi" w:hAnsiTheme="majorHAnsi" w:cstheme="majorHAnsi"/>
                          <w:color w:val="2F4718"/>
                        </w:rPr>
                        <w:t xml:space="preserve"> </w:t>
                      </w:r>
                      <w:proofErr w:type="spellStart"/>
                      <w:r w:rsidRPr="00CD6287">
                        <w:rPr>
                          <w:rFonts w:asciiTheme="majorHAnsi" w:hAnsiTheme="majorHAnsi" w:cstheme="majorHAnsi"/>
                          <w:color w:val="2F4718"/>
                        </w:rPr>
                        <w:t>d'infection</w:t>
                      </w:r>
                      <w:proofErr w:type="spellEnd"/>
                      <w:r w:rsidRPr="00CD6287">
                        <w:rPr>
                          <w:rFonts w:asciiTheme="majorHAnsi" w:hAnsiTheme="majorHAnsi" w:cstheme="majorHAnsi"/>
                          <w:color w:val="2F4718"/>
                        </w:rPr>
                        <w:t xml:space="preserve"> par la variole du singe chez le </w:t>
                      </w:r>
                      <w:proofErr w:type="spellStart"/>
                      <w:r w:rsidRPr="00CD6287">
                        <w:rPr>
                          <w:rFonts w:asciiTheme="majorHAnsi" w:hAnsiTheme="majorHAnsi" w:cstheme="majorHAnsi"/>
                          <w:color w:val="2F4718"/>
                        </w:rPr>
                        <w:t>nourrisson</w:t>
                      </w:r>
                      <w:proofErr w:type="spellEnd"/>
                      <w:r w:rsidRPr="00CD6287">
                        <w:rPr>
                          <w:rFonts w:asciiTheme="majorHAnsi" w:hAnsiTheme="majorHAnsi" w:cstheme="majorHAnsi"/>
                          <w:color w:val="2F4718"/>
                        </w:rPr>
                        <w:t>.</w:t>
                      </w:r>
                    </w:p>
                  </w:txbxContent>
                </v:textbox>
                <w10:wrap type="square" anchorx="margin"/>
              </v:shape>
            </w:pict>
          </mc:Fallback>
        </mc:AlternateContent>
      </w:r>
      <w:r w:rsidRPr="00A3111E">
        <w:rPr>
          <w:rFonts w:ascii="Arial" w:hAnsi="Arial" w:cs="Arial"/>
          <w:bCs/>
          <w:noProof/>
          <w:color w:val="000000" w:themeColor="text1"/>
          <w:u w:val="single"/>
        </w:rPr>
        <w:drawing>
          <wp:anchor distT="0" distB="0" distL="114300" distR="114300" simplePos="0" relativeHeight="251670528" behindDoc="1" locked="0" layoutInCell="1" allowOverlap="1" wp14:anchorId="3ED3461C" wp14:editId="0C6EAB92">
            <wp:simplePos x="0" y="0"/>
            <wp:positionH relativeFrom="column">
              <wp:posOffset>-92075</wp:posOffset>
            </wp:positionH>
            <wp:positionV relativeFrom="paragraph">
              <wp:posOffset>2279503</wp:posOffset>
            </wp:positionV>
            <wp:extent cx="405130" cy="461010"/>
            <wp:effectExtent l="0" t="0" r="0" b="0"/>
            <wp:wrapTight wrapText="bothSides">
              <wp:wrapPolygon edited="0">
                <wp:start x="0" y="0"/>
                <wp:lineTo x="0" y="20529"/>
                <wp:lineTo x="5078" y="20529"/>
                <wp:lineTo x="17266" y="20529"/>
                <wp:lineTo x="20313" y="19636"/>
                <wp:lineTo x="20313" y="6248"/>
                <wp:lineTo x="7110" y="0"/>
                <wp:lineTo x="0" y="0"/>
              </wp:wrapPolygon>
            </wp:wrapTight>
            <wp:docPr id="8399021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902141" name="Picture 839902141"/>
                    <pic:cNvPicPr/>
                  </pic:nvPicPr>
                  <pic:blipFill>
                    <a:blip r:embed="rId9" cstate="print">
                      <a:alphaModFix/>
                      <a:biLevel thresh="50000"/>
                      <a:extLst>
                        <a:ext uri="{BEBA8EAE-BF5A-486C-A8C5-ECC9F3942E4B}">
                          <a14:imgProps xmlns:a14="http://schemas.microsoft.com/office/drawing/2010/main">
                            <a14:imgLayer r:embed="rId10">
                              <a14:imgEffect>
                                <a14:colorTemperature colorTemp="47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05130" cy="461010"/>
                    </a:xfrm>
                    <a:prstGeom prst="rect">
                      <a:avLst/>
                    </a:prstGeom>
                  </pic:spPr>
                </pic:pic>
              </a:graphicData>
            </a:graphic>
            <wp14:sizeRelH relativeFrom="page">
              <wp14:pctWidth>0</wp14:pctWidth>
            </wp14:sizeRelH>
            <wp14:sizeRelV relativeFrom="page">
              <wp14:pctHeight>0</wp14:pctHeight>
            </wp14:sizeRelV>
          </wp:anchor>
        </w:drawing>
      </w:r>
      <w:r w:rsidRPr="00A3111E">
        <w:rPr>
          <w:rFonts w:ascii="Arial" w:hAnsi="Arial" w:cs="Arial"/>
          <w:bCs/>
          <w:noProof/>
          <w:color w:val="000000" w:themeColor="text1"/>
        </w:rPr>
        <w:drawing>
          <wp:anchor distT="0" distB="0" distL="114300" distR="114300" simplePos="0" relativeHeight="251669504" behindDoc="1" locked="0" layoutInCell="1" allowOverlap="1" wp14:anchorId="6490ABD2" wp14:editId="153B569C">
            <wp:simplePos x="0" y="0"/>
            <wp:positionH relativeFrom="column">
              <wp:posOffset>-178435</wp:posOffset>
            </wp:positionH>
            <wp:positionV relativeFrom="paragraph">
              <wp:posOffset>1800176</wp:posOffset>
            </wp:positionV>
            <wp:extent cx="490855" cy="490855"/>
            <wp:effectExtent l="0" t="0" r="0" b="0"/>
            <wp:wrapTight wrapText="bothSides">
              <wp:wrapPolygon edited="0">
                <wp:start x="8383" y="838"/>
                <wp:lineTo x="3353" y="15089"/>
                <wp:lineTo x="6706" y="20119"/>
                <wp:lineTo x="11736" y="20119"/>
                <wp:lineTo x="18442" y="15928"/>
                <wp:lineTo x="15928" y="8383"/>
                <wp:lineTo x="12574" y="838"/>
                <wp:lineTo x="8383" y="838"/>
              </wp:wrapPolygon>
            </wp:wrapTight>
            <wp:docPr id="2003981017"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981017" name="Picture 4" descr="A black background with a black square&#10;&#10;Description automatically generated with medium confidence"/>
                    <pic:cNvPicPr/>
                  </pic:nvPicPr>
                  <pic:blipFill>
                    <a:blip r:embed="rId11" cstate="print">
                      <a:extLst>
                        <a:ext uri="{BEBA8EAE-BF5A-486C-A8C5-ECC9F3942E4B}">
                          <a14:imgProps xmlns:a14="http://schemas.microsoft.com/office/drawing/2010/main">
                            <a14:imgLayer r:embed="rId1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490855" cy="490855"/>
                    </a:xfrm>
                    <a:prstGeom prst="rect">
                      <a:avLst/>
                    </a:prstGeom>
                  </pic:spPr>
                </pic:pic>
              </a:graphicData>
            </a:graphic>
            <wp14:sizeRelH relativeFrom="page">
              <wp14:pctWidth>0</wp14:pctWidth>
            </wp14:sizeRelH>
            <wp14:sizeRelV relativeFrom="page">
              <wp14:pctHeight>0</wp14:pctHeight>
            </wp14:sizeRelV>
          </wp:anchor>
        </w:drawing>
      </w:r>
      <w:r w:rsidR="00A210A4" w:rsidRPr="00A3111E">
        <w:rPr>
          <w:rFonts w:ascii="Arial" w:hAnsi="Arial" w:cs="Arial"/>
          <w:bCs/>
          <w:noProof/>
          <w:color w:val="000000" w:themeColor="text1"/>
          <w:lang w:val="fr-FR"/>
        </w:rPr>
        <w:t>Cette déclaration conjointe a été publiée pour favoriser une action immédiate, coordonnée et multisectorielle sur l'alimentation des nourrissons et des jeunes enfants (ANJE), conformément aux directives sur l'ANJE dans le cadre de la réponse à la Mpox. Cette déclaration conjointe est basée sur les données probantes actuelles et sera mise à jour au fur et à mesure que de nouvelles preuves et recommandations émergeront.</w:t>
      </w:r>
    </w:p>
    <w:p w14:paraId="1D7660C9" w14:textId="2E3F5D7B" w:rsidR="009474B9" w:rsidRPr="00A3111E" w:rsidRDefault="009474B9" w:rsidP="007162FF">
      <w:pPr>
        <w:pBdr>
          <w:top w:val="nil"/>
          <w:left w:val="nil"/>
          <w:bottom w:val="nil"/>
          <w:right w:val="nil"/>
          <w:between w:val="nil"/>
        </w:pBdr>
        <w:tabs>
          <w:tab w:val="left" w:pos="2694"/>
        </w:tabs>
        <w:spacing w:after="0" w:line="240" w:lineRule="auto"/>
        <w:ind w:right="-347"/>
        <w:rPr>
          <w:rFonts w:ascii="Arial" w:hAnsi="Arial" w:cs="Arial"/>
          <w:b/>
          <w:bCs/>
          <w:color w:val="455F51"/>
          <w:sz w:val="28"/>
          <w:szCs w:val="28"/>
          <w:lang w:val="fr-FR"/>
        </w:rPr>
      </w:pPr>
    </w:p>
    <w:p w14:paraId="4C6A979C" w14:textId="021919A1" w:rsidR="00111A35" w:rsidRPr="00A3111E" w:rsidRDefault="005F589B" w:rsidP="007162FF">
      <w:pPr>
        <w:pBdr>
          <w:top w:val="nil"/>
          <w:left w:val="nil"/>
          <w:bottom w:val="nil"/>
          <w:right w:val="nil"/>
          <w:between w:val="nil"/>
        </w:pBdr>
        <w:tabs>
          <w:tab w:val="left" w:pos="2694"/>
        </w:tabs>
        <w:spacing w:after="0" w:line="240" w:lineRule="auto"/>
        <w:ind w:right="-347"/>
        <w:rPr>
          <w:rFonts w:ascii="Arial" w:hAnsi="Arial" w:cs="Arial"/>
          <w:b/>
          <w:bCs/>
          <w:color w:val="455F51"/>
          <w:lang w:val="fr-FR"/>
        </w:rPr>
        <w:sectPr w:rsidR="00111A35" w:rsidRPr="00A3111E" w:rsidSect="00111A35">
          <w:type w:val="continuous"/>
          <w:pgSz w:w="11906" w:h="16838"/>
          <w:pgMar w:top="720" w:right="720" w:bottom="720" w:left="720" w:header="708" w:footer="708" w:gutter="0"/>
          <w:pgNumType w:start="1"/>
          <w:cols w:space="720"/>
          <w:docGrid w:linePitch="299"/>
        </w:sectPr>
      </w:pPr>
      <w:r w:rsidRPr="00A3111E">
        <w:rPr>
          <w:rFonts w:ascii="Arial" w:hAnsi="Arial" w:cs="Arial"/>
          <w:b/>
          <w:bCs/>
          <w:color w:val="455F51"/>
          <w:sz w:val="32"/>
          <w:szCs w:val="32"/>
          <w:lang w:val="fr-FR"/>
        </w:rPr>
        <w:t xml:space="preserve">Nous exhortons tous les intervenants à soutenir ce qui </w:t>
      </w:r>
      <w:r w:rsidR="0046452C" w:rsidRPr="00A3111E">
        <w:rPr>
          <w:rFonts w:ascii="Arial" w:hAnsi="Arial" w:cs="Arial"/>
          <w:b/>
          <w:bCs/>
          <w:color w:val="455F51"/>
          <w:sz w:val="32"/>
          <w:szCs w:val="32"/>
          <w:lang w:val="fr-FR"/>
        </w:rPr>
        <w:t>suit :</w:t>
      </w:r>
    </w:p>
    <w:p w14:paraId="4F69EE62" w14:textId="43806586" w:rsidR="00AB6C44" w:rsidRPr="00A3111E" w:rsidRDefault="00AB6C44" w:rsidP="00111A35">
      <w:pPr>
        <w:pBdr>
          <w:top w:val="nil"/>
          <w:left w:val="nil"/>
          <w:bottom w:val="nil"/>
          <w:right w:val="nil"/>
          <w:between w:val="nil"/>
        </w:pBdr>
        <w:tabs>
          <w:tab w:val="left" w:pos="2694"/>
        </w:tabs>
        <w:spacing w:after="0" w:line="240" w:lineRule="auto"/>
        <w:ind w:left="810" w:right="-347"/>
        <w:rPr>
          <w:rFonts w:ascii="Arial" w:hAnsi="Arial" w:cs="Arial"/>
          <w:color w:val="000000"/>
          <w:sz w:val="20"/>
          <w:szCs w:val="20"/>
          <w:lang w:val="fr-FR"/>
        </w:rPr>
      </w:pPr>
    </w:p>
    <w:p w14:paraId="544EB41A" w14:textId="77777777" w:rsidR="00111A35" w:rsidRPr="00A3111E" w:rsidRDefault="00111A35" w:rsidP="00111A35">
      <w:pPr>
        <w:numPr>
          <w:ilvl w:val="0"/>
          <w:numId w:val="1"/>
        </w:numPr>
        <w:pBdr>
          <w:top w:val="nil"/>
          <w:left w:val="nil"/>
          <w:bottom w:val="nil"/>
          <w:right w:val="nil"/>
          <w:between w:val="nil"/>
        </w:pBdr>
        <w:tabs>
          <w:tab w:val="left" w:pos="2694"/>
        </w:tabs>
        <w:spacing w:after="0" w:line="240" w:lineRule="auto"/>
        <w:ind w:left="810" w:right="-347"/>
        <w:rPr>
          <w:rFonts w:ascii="Arial" w:hAnsi="Arial" w:cs="Arial"/>
          <w:b/>
          <w:sz w:val="20"/>
          <w:szCs w:val="20"/>
          <w:lang w:val="fr-FR"/>
        </w:rPr>
        <w:sectPr w:rsidR="00111A35" w:rsidRPr="00A3111E" w:rsidSect="00111A35">
          <w:type w:val="continuous"/>
          <w:pgSz w:w="11906" w:h="16838"/>
          <w:pgMar w:top="720" w:right="566" w:bottom="720" w:left="720" w:header="708" w:footer="708" w:gutter="0"/>
          <w:pgNumType w:start="1"/>
          <w:cols w:num="2" w:space="720"/>
          <w:docGrid w:linePitch="299"/>
        </w:sectPr>
      </w:pPr>
    </w:p>
    <w:p w14:paraId="38FCA092" w14:textId="459E5D5D" w:rsidR="005F589B" w:rsidRPr="00A3111E" w:rsidRDefault="005F589B" w:rsidP="00F00B24">
      <w:pPr>
        <w:pStyle w:val="ListParagraph"/>
        <w:numPr>
          <w:ilvl w:val="0"/>
          <w:numId w:val="1"/>
        </w:numPr>
        <w:pBdr>
          <w:top w:val="nil"/>
          <w:left w:val="nil"/>
          <w:bottom w:val="nil"/>
          <w:right w:val="nil"/>
          <w:between w:val="nil"/>
        </w:pBdr>
        <w:tabs>
          <w:tab w:val="left" w:pos="2694"/>
        </w:tabs>
        <w:spacing w:after="0" w:line="240" w:lineRule="auto"/>
        <w:ind w:right="-347"/>
        <w:jc w:val="both"/>
        <w:rPr>
          <w:rFonts w:ascii="Arial" w:hAnsi="Arial" w:cs="Arial"/>
          <w:bCs/>
          <w:color w:val="3A5536"/>
          <w:sz w:val="20"/>
          <w:szCs w:val="20"/>
        </w:rPr>
      </w:pPr>
      <w:r w:rsidRPr="00A3111E">
        <w:rPr>
          <w:rFonts w:ascii="Arial" w:hAnsi="Arial" w:cs="Arial"/>
          <w:b/>
          <w:color w:val="3A5536"/>
          <w:sz w:val="20"/>
          <w:szCs w:val="20"/>
          <w:lang w:val="fr-FR"/>
        </w:rPr>
        <w:t xml:space="preserve">L'allaitement sauve des vies – </w:t>
      </w:r>
      <w:r w:rsidRPr="00B22375">
        <w:rPr>
          <w:rFonts w:ascii="Arial" w:hAnsi="Arial" w:cs="Arial"/>
          <w:b/>
          <w:color w:val="3A5536"/>
          <w:sz w:val="20"/>
          <w:szCs w:val="20"/>
          <w:lang w:val="fr-FR"/>
        </w:rPr>
        <w:t>Priorisez et identifiez les besoins des femmes et des</w:t>
      </w:r>
      <w:r w:rsidRPr="00A3111E">
        <w:rPr>
          <w:rFonts w:ascii="Arial" w:hAnsi="Arial" w:cs="Arial"/>
          <w:bCs/>
          <w:color w:val="3A5536"/>
          <w:sz w:val="20"/>
          <w:szCs w:val="20"/>
          <w:lang w:val="fr-FR"/>
        </w:rPr>
        <w:t xml:space="preserve"> filles qui allaitent dès le début, et fournissez une protection et un soutien adéquats en créant un environnement favorable (par exemple, des zones pour les mères et les bébés, protection contre des distributions inappropriées) et en offrant un soutien à l'allaitement qualifié, y compris pour les nouvelles mères et les principaux soignants. </w:t>
      </w:r>
      <w:proofErr w:type="spellStart"/>
      <w:r w:rsidRPr="00A3111E">
        <w:rPr>
          <w:rFonts w:ascii="Arial" w:hAnsi="Arial" w:cs="Arial"/>
          <w:b/>
          <w:color w:val="3A5536"/>
          <w:sz w:val="20"/>
          <w:szCs w:val="20"/>
        </w:rPr>
        <w:t>Cela</w:t>
      </w:r>
      <w:proofErr w:type="spellEnd"/>
      <w:r w:rsidRPr="00A3111E">
        <w:rPr>
          <w:rFonts w:ascii="Arial" w:hAnsi="Arial" w:cs="Arial"/>
          <w:b/>
          <w:color w:val="3A5536"/>
          <w:sz w:val="20"/>
          <w:szCs w:val="20"/>
        </w:rPr>
        <w:t xml:space="preserve"> </w:t>
      </w:r>
      <w:proofErr w:type="spellStart"/>
      <w:r w:rsidRPr="00A3111E">
        <w:rPr>
          <w:rFonts w:ascii="Arial" w:hAnsi="Arial" w:cs="Arial"/>
          <w:b/>
          <w:color w:val="3A5536"/>
          <w:sz w:val="20"/>
          <w:szCs w:val="20"/>
        </w:rPr>
        <w:t>est</w:t>
      </w:r>
      <w:proofErr w:type="spellEnd"/>
      <w:r w:rsidRPr="00A3111E">
        <w:rPr>
          <w:rFonts w:ascii="Arial" w:hAnsi="Arial" w:cs="Arial"/>
          <w:b/>
          <w:color w:val="3A5536"/>
          <w:sz w:val="20"/>
          <w:szCs w:val="20"/>
        </w:rPr>
        <w:t xml:space="preserve"> </w:t>
      </w:r>
      <w:proofErr w:type="spellStart"/>
      <w:r w:rsidRPr="00A3111E">
        <w:rPr>
          <w:rFonts w:ascii="Arial" w:hAnsi="Arial" w:cs="Arial"/>
          <w:b/>
          <w:color w:val="3A5536"/>
          <w:sz w:val="20"/>
          <w:szCs w:val="20"/>
        </w:rPr>
        <w:t>essentiel</w:t>
      </w:r>
      <w:proofErr w:type="spellEnd"/>
      <w:r w:rsidRPr="00A3111E">
        <w:rPr>
          <w:rFonts w:ascii="Arial" w:hAnsi="Arial" w:cs="Arial"/>
          <w:b/>
          <w:color w:val="3A5536"/>
          <w:sz w:val="20"/>
          <w:szCs w:val="20"/>
        </w:rPr>
        <w:t xml:space="preserve"> pour la </w:t>
      </w:r>
      <w:proofErr w:type="spellStart"/>
      <w:r w:rsidRPr="00A3111E">
        <w:rPr>
          <w:rFonts w:ascii="Arial" w:hAnsi="Arial" w:cs="Arial"/>
          <w:b/>
          <w:color w:val="3A5536"/>
          <w:sz w:val="20"/>
          <w:szCs w:val="20"/>
        </w:rPr>
        <w:t>survie</w:t>
      </w:r>
      <w:proofErr w:type="spellEnd"/>
      <w:r w:rsidRPr="00A3111E">
        <w:rPr>
          <w:rFonts w:ascii="Arial" w:hAnsi="Arial" w:cs="Arial"/>
          <w:b/>
          <w:color w:val="3A5536"/>
          <w:sz w:val="20"/>
          <w:szCs w:val="20"/>
        </w:rPr>
        <w:t xml:space="preserve"> de </w:t>
      </w:r>
      <w:proofErr w:type="spellStart"/>
      <w:r w:rsidRPr="00A3111E">
        <w:rPr>
          <w:rFonts w:ascii="Arial" w:hAnsi="Arial" w:cs="Arial"/>
          <w:b/>
          <w:color w:val="3A5536"/>
          <w:sz w:val="20"/>
          <w:szCs w:val="20"/>
        </w:rPr>
        <w:t>l'enfant</w:t>
      </w:r>
      <w:proofErr w:type="spellEnd"/>
      <w:r w:rsidRPr="00A3111E">
        <w:rPr>
          <w:rFonts w:ascii="Arial" w:hAnsi="Arial" w:cs="Arial"/>
          <w:b/>
          <w:color w:val="3A5536"/>
          <w:sz w:val="20"/>
          <w:szCs w:val="20"/>
        </w:rPr>
        <w:t>.</w:t>
      </w:r>
    </w:p>
    <w:p w14:paraId="2216BB40" w14:textId="77777777" w:rsidR="00F00B24" w:rsidRPr="00A3111E" w:rsidRDefault="00F00B24" w:rsidP="00F00B24">
      <w:pPr>
        <w:pStyle w:val="ListParagraph"/>
        <w:pBdr>
          <w:top w:val="nil"/>
          <w:left w:val="nil"/>
          <w:bottom w:val="nil"/>
          <w:right w:val="nil"/>
          <w:between w:val="nil"/>
        </w:pBdr>
        <w:tabs>
          <w:tab w:val="left" w:pos="2694"/>
        </w:tabs>
        <w:spacing w:after="0" w:line="240" w:lineRule="auto"/>
        <w:ind w:left="360" w:right="-347"/>
        <w:jc w:val="both"/>
        <w:rPr>
          <w:rFonts w:ascii="Arial" w:hAnsi="Arial" w:cs="Arial"/>
          <w:bCs/>
          <w:color w:val="3A5536"/>
          <w:sz w:val="16"/>
          <w:szCs w:val="16"/>
        </w:rPr>
      </w:pPr>
    </w:p>
    <w:p w14:paraId="6D5BEC7F" w14:textId="22C34F0A" w:rsidR="005F589B" w:rsidRPr="00A3111E" w:rsidRDefault="005F589B" w:rsidP="005F589B">
      <w:pPr>
        <w:pStyle w:val="ListParagraph"/>
        <w:numPr>
          <w:ilvl w:val="0"/>
          <w:numId w:val="1"/>
        </w:numPr>
        <w:pBdr>
          <w:top w:val="nil"/>
          <w:left w:val="nil"/>
          <w:bottom w:val="nil"/>
          <w:right w:val="nil"/>
          <w:between w:val="nil"/>
        </w:pBdr>
        <w:tabs>
          <w:tab w:val="left" w:pos="2694"/>
        </w:tabs>
        <w:spacing w:after="0" w:line="240" w:lineRule="auto"/>
        <w:ind w:right="-347"/>
        <w:jc w:val="both"/>
        <w:rPr>
          <w:rFonts w:ascii="Arial" w:hAnsi="Arial" w:cs="Arial"/>
          <w:color w:val="3A5536"/>
          <w:sz w:val="20"/>
          <w:szCs w:val="20"/>
          <w:lang w:val="fr-FR"/>
        </w:rPr>
      </w:pPr>
      <w:r w:rsidRPr="00A3111E">
        <w:rPr>
          <w:rFonts w:ascii="Arial" w:hAnsi="Arial" w:cs="Arial"/>
          <w:b/>
          <w:bCs/>
          <w:color w:val="3A5536"/>
          <w:sz w:val="20"/>
          <w:szCs w:val="20"/>
          <w:lang w:val="fr-FR"/>
        </w:rPr>
        <w:t>Assurez-vous que tout soutien est conforme aux pratiques d'alimentation recommandées pour ANJE</w:t>
      </w:r>
      <w:r w:rsidRPr="00A3111E">
        <w:rPr>
          <w:rFonts w:ascii="Arial" w:hAnsi="Arial" w:cs="Arial"/>
          <w:color w:val="3A5536"/>
          <w:sz w:val="20"/>
          <w:szCs w:val="20"/>
          <w:lang w:val="fr-FR"/>
        </w:rPr>
        <w:t xml:space="preserve"> dans le contexte de la variole du singe (</w:t>
      </w:r>
      <w:proofErr w:type="spellStart"/>
      <w:r w:rsidRPr="00A3111E">
        <w:rPr>
          <w:rFonts w:ascii="Arial" w:hAnsi="Arial" w:cs="Arial"/>
          <w:color w:val="3A5536"/>
          <w:sz w:val="20"/>
          <w:szCs w:val="20"/>
          <w:lang w:val="fr-FR"/>
        </w:rPr>
        <w:t>Mpox</w:t>
      </w:r>
      <w:proofErr w:type="spellEnd"/>
      <w:r w:rsidRPr="00A3111E">
        <w:rPr>
          <w:rFonts w:ascii="Arial" w:hAnsi="Arial" w:cs="Arial"/>
          <w:color w:val="3A5536"/>
          <w:sz w:val="20"/>
          <w:szCs w:val="20"/>
          <w:lang w:val="fr-FR"/>
        </w:rPr>
        <w:t xml:space="preserve">). Veillez à ce que les nourrissons nés de mères suspectées ou confirmées de </w:t>
      </w:r>
      <w:proofErr w:type="spellStart"/>
      <w:r w:rsidRPr="00A3111E">
        <w:rPr>
          <w:rFonts w:ascii="Arial" w:hAnsi="Arial" w:cs="Arial"/>
          <w:color w:val="3A5536"/>
          <w:sz w:val="20"/>
          <w:szCs w:val="20"/>
          <w:lang w:val="fr-FR"/>
        </w:rPr>
        <w:t>Mpox</w:t>
      </w:r>
      <w:proofErr w:type="spellEnd"/>
      <w:r w:rsidRPr="00A3111E">
        <w:rPr>
          <w:rFonts w:ascii="Arial" w:hAnsi="Arial" w:cs="Arial"/>
          <w:color w:val="3A5536"/>
          <w:sz w:val="20"/>
          <w:szCs w:val="20"/>
          <w:lang w:val="fr-FR"/>
        </w:rPr>
        <w:t xml:space="preserve"> aient accès aux services de santé où ils reçoivent un soutien pour l'initiation précoce de l'allaitement, y compris le contact peau à peau, et pour un allaitement exclusif, tout en appliquant les précautions d'hygiène nécessaires et en veillant à ce que des mesures soient prises pour éviter les pratiques qui séparent les bébés et les mères ou perturbent l'allaitement, conformément aux directives mondiales et nationales.</w:t>
      </w:r>
    </w:p>
    <w:p w14:paraId="7A8CBB92" w14:textId="77777777" w:rsidR="005F589B" w:rsidRPr="00A3111E" w:rsidRDefault="005F589B" w:rsidP="005F589B">
      <w:pPr>
        <w:pStyle w:val="ListParagraph"/>
        <w:rPr>
          <w:rFonts w:ascii="Arial" w:hAnsi="Arial" w:cs="Arial"/>
          <w:b/>
          <w:iCs/>
          <w:color w:val="3A5536"/>
          <w:sz w:val="12"/>
          <w:szCs w:val="12"/>
          <w:lang w:val="fr-FR"/>
        </w:rPr>
      </w:pPr>
    </w:p>
    <w:p w14:paraId="71486153" w14:textId="5C2F6491" w:rsidR="00232160" w:rsidRPr="00A3111E" w:rsidRDefault="005F589B" w:rsidP="00232160">
      <w:pPr>
        <w:pStyle w:val="ListParagraph"/>
        <w:numPr>
          <w:ilvl w:val="0"/>
          <w:numId w:val="1"/>
        </w:numPr>
        <w:pBdr>
          <w:top w:val="nil"/>
          <w:left w:val="nil"/>
          <w:bottom w:val="nil"/>
          <w:right w:val="nil"/>
          <w:between w:val="nil"/>
        </w:pBdr>
        <w:tabs>
          <w:tab w:val="left" w:pos="2694"/>
        </w:tabs>
        <w:spacing w:after="0" w:line="240" w:lineRule="auto"/>
        <w:ind w:right="-347"/>
        <w:jc w:val="both"/>
        <w:rPr>
          <w:rFonts w:ascii="Arial" w:hAnsi="Arial" w:cs="Arial"/>
          <w:bCs/>
          <w:color w:val="3A5536"/>
          <w:spacing w:val="-2"/>
          <w:sz w:val="20"/>
          <w:szCs w:val="20"/>
          <w:lang w:val="fr-FR"/>
        </w:rPr>
      </w:pPr>
      <w:r w:rsidRPr="00A3111E">
        <w:rPr>
          <w:rFonts w:ascii="Arial" w:hAnsi="Arial" w:cs="Arial"/>
          <w:b/>
          <w:iCs/>
          <w:color w:val="3A5536"/>
          <w:spacing w:val="-2"/>
          <w:sz w:val="20"/>
          <w:szCs w:val="20"/>
          <w:lang w:val="fr-FR"/>
        </w:rPr>
        <w:lastRenderedPageBreak/>
        <w:t xml:space="preserve">Envisagez et encouragez d'autres options d'alimentation au lait maternel lorsque </w:t>
      </w:r>
      <w:r w:rsidRPr="00A3111E">
        <w:rPr>
          <w:rFonts w:ascii="Arial" w:hAnsi="Arial" w:cs="Arial"/>
          <w:bCs/>
          <w:iCs/>
          <w:color w:val="3A5536"/>
          <w:spacing w:val="-2"/>
          <w:sz w:val="20"/>
          <w:szCs w:val="20"/>
          <w:lang w:val="fr-FR"/>
        </w:rPr>
        <w:t>cela est sûr et qu'une mère n'est pas en mesure d'allaiter elle-même, y compris le lait maternel exprimé donné, la nourrice ou le lait maternel exprimé pasteurisé</w:t>
      </w:r>
      <w:r w:rsidR="009D0987" w:rsidRPr="00A3111E">
        <w:rPr>
          <w:rFonts w:ascii="Arial" w:hAnsi="Arial" w:cs="Arial"/>
          <w:bCs/>
          <w:iCs/>
          <w:color w:val="3A5536"/>
          <w:spacing w:val="-2"/>
          <w:sz w:val="20"/>
          <w:szCs w:val="20"/>
          <w:lang w:val="fr-FR"/>
        </w:rPr>
        <w:t xml:space="preserve"> </w:t>
      </w:r>
      <w:proofErr w:type="spellStart"/>
      <w:r w:rsidR="009D0987" w:rsidRPr="00A3111E">
        <w:rPr>
          <w:rFonts w:ascii="Arial" w:hAnsi="Arial" w:cs="Arial"/>
          <w:bCs/>
          <w:iCs/>
          <w:color w:val="3A5536"/>
          <w:spacing w:val="-2"/>
          <w:sz w:val="20"/>
          <w:szCs w:val="20"/>
        </w:rPr>
        <w:t>basé</w:t>
      </w:r>
      <w:proofErr w:type="spellEnd"/>
      <w:r w:rsidR="009D0987" w:rsidRPr="00A3111E">
        <w:rPr>
          <w:rFonts w:ascii="Arial" w:hAnsi="Arial" w:cs="Arial"/>
          <w:bCs/>
          <w:iCs/>
          <w:color w:val="3A5536"/>
          <w:spacing w:val="-2"/>
          <w:sz w:val="20"/>
          <w:szCs w:val="20"/>
        </w:rPr>
        <w:t xml:space="preserve"> sur les directives locales et le contexte</w:t>
      </w:r>
      <w:r w:rsidRPr="00A3111E">
        <w:rPr>
          <w:rFonts w:ascii="Arial" w:hAnsi="Arial" w:cs="Arial"/>
          <w:bCs/>
          <w:iCs/>
          <w:color w:val="3A5536"/>
          <w:spacing w:val="-2"/>
          <w:sz w:val="20"/>
          <w:szCs w:val="20"/>
          <w:lang w:val="fr-FR"/>
        </w:rPr>
        <w:t xml:space="preserve">. </w:t>
      </w:r>
      <w:r w:rsidRPr="00A3111E">
        <w:rPr>
          <w:rFonts w:ascii="Arial" w:hAnsi="Arial" w:cs="Arial"/>
          <w:b/>
          <w:iCs/>
          <w:color w:val="3A5536"/>
          <w:spacing w:val="-2"/>
          <w:sz w:val="20"/>
          <w:szCs w:val="20"/>
          <w:lang w:val="fr-FR"/>
        </w:rPr>
        <w:t>Soutenez la reprise de l'allaitement après la guérison</w:t>
      </w:r>
      <w:r w:rsidRPr="00A3111E">
        <w:rPr>
          <w:rFonts w:ascii="Arial" w:hAnsi="Arial" w:cs="Arial"/>
          <w:bCs/>
          <w:iCs/>
          <w:color w:val="3A5536"/>
          <w:spacing w:val="-2"/>
          <w:sz w:val="20"/>
          <w:szCs w:val="20"/>
          <w:lang w:val="fr-FR"/>
        </w:rPr>
        <w:t xml:space="preserve"> (y compris le soutien pour maintenir la production de lait maternel et la </w:t>
      </w:r>
      <w:proofErr w:type="spellStart"/>
      <w:r w:rsidRPr="00A3111E">
        <w:rPr>
          <w:rFonts w:ascii="Arial" w:hAnsi="Arial" w:cs="Arial"/>
          <w:bCs/>
          <w:iCs/>
          <w:color w:val="3A5536"/>
          <w:spacing w:val="-2"/>
          <w:sz w:val="20"/>
          <w:szCs w:val="20"/>
          <w:lang w:val="fr-FR"/>
        </w:rPr>
        <w:t>relactation</w:t>
      </w:r>
      <w:proofErr w:type="spellEnd"/>
      <w:r w:rsidRPr="00A3111E">
        <w:rPr>
          <w:rFonts w:ascii="Arial" w:hAnsi="Arial" w:cs="Arial"/>
          <w:bCs/>
          <w:iCs/>
          <w:color w:val="3A5536"/>
          <w:spacing w:val="-2"/>
          <w:sz w:val="20"/>
          <w:szCs w:val="20"/>
          <w:lang w:val="fr-FR"/>
        </w:rPr>
        <w:t>) si l'allaitement a été temporairement interrompu pendant la maladie.</w:t>
      </w:r>
    </w:p>
    <w:p w14:paraId="00CA9216" w14:textId="488D9FCF" w:rsidR="00232160" w:rsidRPr="00A3111E" w:rsidRDefault="00232160" w:rsidP="00232160">
      <w:pPr>
        <w:pStyle w:val="ListParagraph"/>
        <w:rPr>
          <w:rFonts w:ascii="Arial" w:hAnsi="Arial" w:cs="Arial"/>
          <w:bCs/>
          <w:color w:val="3A5536"/>
          <w:sz w:val="16"/>
          <w:szCs w:val="16"/>
          <w:lang w:val="fr-FR"/>
        </w:rPr>
      </w:pPr>
    </w:p>
    <w:p w14:paraId="3B0AAAEB" w14:textId="4FB36D0B" w:rsidR="00232160" w:rsidRPr="00A3111E" w:rsidRDefault="00232160" w:rsidP="00232160">
      <w:pPr>
        <w:pStyle w:val="ListParagraph"/>
        <w:numPr>
          <w:ilvl w:val="0"/>
          <w:numId w:val="1"/>
        </w:numPr>
        <w:pBdr>
          <w:top w:val="nil"/>
          <w:left w:val="nil"/>
          <w:bottom w:val="nil"/>
          <w:right w:val="nil"/>
          <w:between w:val="nil"/>
        </w:pBdr>
        <w:tabs>
          <w:tab w:val="left" w:pos="2694"/>
        </w:tabs>
        <w:spacing w:after="0" w:line="240" w:lineRule="auto"/>
        <w:ind w:right="-347"/>
        <w:jc w:val="both"/>
        <w:rPr>
          <w:rFonts w:ascii="Arial" w:hAnsi="Arial" w:cs="Arial"/>
          <w:bCs/>
          <w:color w:val="3A5536"/>
          <w:spacing w:val="-4"/>
          <w:sz w:val="20"/>
          <w:szCs w:val="20"/>
          <w:lang w:val="fr-FR"/>
        </w:rPr>
      </w:pPr>
      <w:r w:rsidRPr="00A3111E">
        <w:rPr>
          <w:rFonts w:ascii="Arial" w:hAnsi="Arial" w:cs="Arial"/>
          <w:b/>
          <w:color w:val="3A5536"/>
          <w:spacing w:val="-4"/>
          <w:sz w:val="20"/>
          <w:szCs w:val="20"/>
          <w:lang w:val="fr-FR"/>
        </w:rPr>
        <w:t>Assurez-vous que les femmes et les filles enceintes et allaitantes ont accès</w:t>
      </w:r>
      <w:r w:rsidRPr="00A3111E">
        <w:rPr>
          <w:rFonts w:ascii="Arial" w:hAnsi="Arial" w:cs="Arial"/>
          <w:bCs/>
          <w:color w:val="3A5536"/>
          <w:spacing w:val="-4"/>
          <w:sz w:val="20"/>
          <w:szCs w:val="20"/>
          <w:lang w:val="fr-FR"/>
        </w:rPr>
        <w:t xml:space="preserve"> à la nourriture, à l'eau, à un abri, aux soins de santé, à la protection, au soutien psychosocial et à d'autres interventions pour satisfaire leurs besoins essentiels. Envisagez des approches innovantes pour le soutien à distance dans le contexte de l'isolement et du confinement.</w:t>
      </w:r>
    </w:p>
    <w:p w14:paraId="234BD875" w14:textId="77777777" w:rsidR="00232160" w:rsidRPr="00A3111E" w:rsidRDefault="00232160" w:rsidP="00232160">
      <w:pPr>
        <w:pStyle w:val="ListParagraph"/>
        <w:rPr>
          <w:rFonts w:ascii="Arial" w:hAnsi="Arial" w:cs="Arial"/>
          <w:bCs/>
          <w:color w:val="3A5536"/>
          <w:sz w:val="16"/>
          <w:szCs w:val="16"/>
          <w:lang w:val="fr-FR"/>
        </w:rPr>
      </w:pPr>
    </w:p>
    <w:p w14:paraId="3F34857C" w14:textId="77777777" w:rsidR="00F00B24" w:rsidRPr="00A3111E" w:rsidRDefault="00232160" w:rsidP="00F00B24">
      <w:pPr>
        <w:pStyle w:val="ListParagraph"/>
        <w:numPr>
          <w:ilvl w:val="0"/>
          <w:numId w:val="1"/>
        </w:numPr>
        <w:pBdr>
          <w:top w:val="nil"/>
          <w:left w:val="nil"/>
          <w:bottom w:val="nil"/>
          <w:right w:val="nil"/>
          <w:between w:val="nil"/>
        </w:pBdr>
        <w:tabs>
          <w:tab w:val="left" w:pos="2694"/>
        </w:tabs>
        <w:spacing w:after="0" w:line="240" w:lineRule="auto"/>
        <w:ind w:right="-347"/>
        <w:jc w:val="both"/>
        <w:rPr>
          <w:rFonts w:ascii="Arial" w:hAnsi="Arial" w:cs="Arial"/>
          <w:bCs/>
          <w:color w:val="3A5536"/>
          <w:sz w:val="20"/>
          <w:szCs w:val="20"/>
          <w:lang w:val="fr-FR"/>
        </w:rPr>
      </w:pPr>
      <w:r w:rsidRPr="00A3111E">
        <w:rPr>
          <w:rFonts w:ascii="Arial" w:hAnsi="Arial" w:cs="Arial"/>
          <w:b/>
          <w:color w:val="3A5536"/>
          <w:sz w:val="20"/>
          <w:szCs w:val="20"/>
          <w:lang w:val="fr-FR"/>
        </w:rPr>
        <w:t>Protégez et répondez aux besoins des nourrissons et des jeunes enfants qui ne sont pas allaités et minimisez les risques auxquels ils sont exposés</w:t>
      </w:r>
      <w:r w:rsidR="00EB5875" w:rsidRPr="00A3111E">
        <w:rPr>
          <w:rStyle w:val="FootnoteReference"/>
          <w:rFonts w:ascii="Arial" w:hAnsi="Arial" w:cs="Arial"/>
          <w:b/>
          <w:color w:val="3A5536"/>
          <w:sz w:val="20"/>
          <w:szCs w:val="20"/>
        </w:rPr>
        <w:footnoteReference w:id="3"/>
      </w:r>
      <w:r w:rsidRPr="00A3111E">
        <w:rPr>
          <w:rFonts w:ascii="Arial" w:hAnsi="Arial" w:cs="Arial"/>
          <w:bCs/>
          <w:color w:val="3A5536"/>
          <w:sz w:val="20"/>
          <w:szCs w:val="20"/>
          <w:lang w:val="fr-FR"/>
        </w:rPr>
        <w:t>. Les substituts du lait maternel (SLM) – lorsqu'ils sont distribués sans un contrôle approprié – augmentent le risque de maladies, de malnutrition et même de décès pour les nourrissons et les enfants qui ne peuvent pas être allaités. Les nourrissons qui ne sont pas allaités et qui ont besoin de préparations pour nourrissons doivent être rapidement identifiés, évalués et ciblés avec un ensemble de soutien essentiel (y compris un approvisionnement continu en SLM, de l'équipement, des fournitures et une formation pour une préparation sécurisée, des conseils individuels et un suivi régulier), afin de minimiser les risques pour les enfants allaités et non allaités.</w:t>
      </w:r>
    </w:p>
    <w:p w14:paraId="5CF1CE92" w14:textId="4EF72978" w:rsidR="00F00B24" w:rsidRPr="00A3111E" w:rsidRDefault="00F00B24" w:rsidP="00F00B24">
      <w:pPr>
        <w:pStyle w:val="ListParagraph"/>
        <w:rPr>
          <w:rFonts w:ascii="Arial" w:hAnsi="Arial" w:cs="Arial"/>
          <w:bCs/>
          <w:color w:val="3A5536"/>
          <w:sz w:val="16"/>
          <w:szCs w:val="16"/>
          <w:lang w:val="fr-FR"/>
        </w:rPr>
      </w:pPr>
    </w:p>
    <w:p w14:paraId="5E950CFB" w14:textId="49FD7D1D" w:rsidR="00F00B24" w:rsidRPr="00A3111E" w:rsidRDefault="00232160" w:rsidP="00F00B24">
      <w:pPr>
        <w:pStyle w:val="ListParagraph"/>
        <w:numPr>
          <w:ilvl w:val="0"/>
          <w:numId w:val="1"/>
        </w:numPr>
        <w:pBdr>
          <w:top w:val="nil"/>
          <w:left w:val="nil"/>
          <w:bottom w:val="nil"/>
          <w:right w:val="nil"/>
          <w:between w:val="nil"/>
        </w:pBdr>
        <w:tabs>
          <w:tab w:val="left" w:pos="2694"/>
        </w:tabs>
        <w:spacing w:after="0" w:line="240" w:lineRule="auto"/>
        <w:ind w:right="-347"/>
        <w:jc w:val="both"/>
        <w:rPr>
          <w:rFonts w:ascii="Arial" w:hAnsi="Arial" w:cs="Arial"/>
          <w:bCs/>
          <w:color w:val="3A5536"/>
          <w:sz w:val="20"/>
          <w:szCs w:val="20"/>
          <w:lang w:val="fr-FR"/>
        </w:rPr>
      </w:pPr>
      <w:r w:rsidRPr="00A3111E">
        <w:rPr>
          <w:rFonts w:ascii="Arial" w:hAnsi="Arial" w:cs="Arial"/>
          <w:bCs/>
          <w:color w:val="3A5536"/>
          <w:sz w:val="20"/>
          <w:szCs w:val="20"/>
          <w:lang w:val="fr-FR"/>
        </w:rPr>
        <w:t xml:space="preserve">Conformément aux directives acceptées au niveau international et aux politiques gouvernementales pertinentes, </w:t>
      </w:r>
      <w:r w:rsidRPr="00A3111E">
        <w:rPr>
          <w:rFonts w:ascii="Arial" w:hAnsi="Arial" w:cs="Arial"/>
          <w:b/>
          <w:color w:val="3A5536"/>
          <w:sz w:val="20"/>
          <w:szCs w:val="20"/>
          <w:lang w:val="fr-FR"/>
        </w:rPr>
        <w:t>tous les acteurs sont invités à ne PAS demander, soutenir, accepter ou distribuer des dons de substituts du lait maternel (SLM, y compris les préparations pour nourrissons), d'autres produits laitiers</w:t>
      </w:r>
      <w:r w:rsidR="0091705C" w:rsidRPr="00A3111E">
        <w:rPr>
          <w:rStyle w:val="FootnoteReference"/>
          <w:rFonts w:ascii="Arial" w:hAnsi="Arial" w:cs="Arial"/>
          <w:b/>
          <w:color w:val="3A5536"/>
          <w:sz w:val="20"/>
          <w:szCs w:val="20"/>
        </w:rPr>
        <w:footnoteReference w:id="4"/>
      </w:r>
      <w:r w:rsidRPr="00A3111E">
        <w:rPr>
          <w:rFonts w:ascii="Arial" w:hAnsi="Arial" w:cs="Arial"/>
          <w:b/>
          <w:color w:val="3A5536"/>
          <w:sz w:val="20"/>
          <w:szCs w:val="20"/>
          <w:lang w:val="fr-FR"/>
        </w:rPr>
        <w:t>, d'aliments complémentaires et de matériel d'alimentation (comme les biberons, les tétines et les tire-lait)</w:t>
      </w:r>
      <w:r w:rsidRPr="00A3111E">
        <w:rPr>
          <w:rFonts w:ascii="Arial" w:hAnsi="Arial" w:cs="Arial"/>
          <w:bCs/>
          <w:color w:val="3A5536"/>
          <w:sz w:val="20"/>
          <w:szCs w:val="20"/>
          <w:lang w:val="fr-FR"/>
        </w:rPr>
        <w:t>. De tels dons sont difficiles à gérer, souvent inappropriés ou mal utilisés, et entraînent une augmentation des maladies infectieuses, mettant en danger la vie des nourrissons allaités et non allaités. Les fournitures nécessaires en SLM doivent être fournies dans le cadre d'un ensemble soutenu de soins coordonnés, basé sur les besoins évalués, et doivent être conformes au Code. Ne pas inclure les fournitures achetées ou données dans les distributions générales. Les fournitures requises en SLM doivent être achetées (par le prestataire ou l</w:t>
      </w:r>
      <w:r w:rsidR="00C67EA8" w:rsidRPr="00A3111E">
        <w:rPr>
          <w:rFonts w:ascii="Arial" w:hAnsi="Arial" w:cs="Arial"/>
          <w:bCs/>
          <w:color w:val="3A5536"/>
          <w:sz w:val="20"/>
          <w:szCs w:val="20"/>
          <w:lang w:val="fr-FR"/>
        </w:rPr>
        <w:t>’accompagnant</w:t>
      </w:r>
      <w:r w:rsidRPr="00A3111E">
        <w:rPr>
          <w:rFonts w:ascii="Arial" w:hAnsi="Arial" w:cs="Arial"/>
          <w:bCs/>
          <w:color w:val="3A5536"/>
          <w:sz w:val="20"/>
          <w:szCs w:val="20"/>
          <w:lang w:val="fr-FR"/>
        </w:rPr>
        <w:t>) et fournies dans le cadre d'un ensemble soutenu de soins coordonnés, basé sur les besoins évalués, et doivent être conformes au Code.</w:t>
      </w:r>
    </w:p>
    <w:p w14:paraId="171FD114" w14:textId="77777777" w:rsidR="00F00B24" w:rsidRPr="00A3111E" w:rsidRDefault="00F00B24" w:rsidP="00F00B24">
      <w:pPr>
        <w:pStyle w:val="ListParagraph"/>
        <w:rPr>
          <w:rFonts w:ascii="Arial" w:hAnsi="Arial" w:cs="Arial"/>
          <w:b/>
          <w:color w:val="3A5536"/>
          <w:sz w:val="16"/>
          <w:szCs w:val="16"/>
          <w:lang w:val="fr-FR"/>
        </w:rPr>
      </w:pPr>
    </w:p>
    <w:p w14:paraId="476D9FC4" w14:textId="1A04B59D" w:rsidR="00F00B24" w:rsidRPr="00A3111E" w:rsidRDefault="00232160" w:rsidP="00F00B24">
      <w:pPr>
        <w:pStyle w:val="ListParagraph"/>
        <w:numPr>
          <w:ilvl w:val="0"/>
          <w:numId w:val="1"/>
        </w:numPr>
        <w:pBdr>
          <w:top w:val="nil"/>
          <w:left w:val="nil"/>
          <w:bottom w:val="nil"/>
          <w:right w:val="nil"/>
          <w:between w:val="nil"/>
        </w:pBdr>
        <w:tabs>
          <w:tab w:val="left" w:pos="2694"/>
        </w:tabs>
        <w:spacing w:after="0" w:line="240" w:lineRule="auto"/>
        <w:ind w:right="-347"/>
        <w:jc w:val="both"/>
        <w:rPr>
          <w:rFonts w:ascii="Arial" w:hAnsi="Arial" w:cs="Arial"/>
          <w:bCs/>
          <w:color w:val="3A5536"/>
          <w:sz w:val="20"/>
          <w:szCs w:val="20"/>
          <w:lang w:val="fr-FR"/>
        </w:rPr>
      </w:pPr>
      <w:r w:rsidRPr="00A3111E">
        <w:rPr>
          <w:rFonts w:ascii="Arial" w:hAnsi="Arial" w:cs="Arial"/>
          <w:b/>
          <w:color w:val="3A5536"/>
          <w:sz w:val="20"/>
          <w:szCs w:val="20"/>
          <w:lang w:val="fr-FR"/>
        </w:rPr>
        <w:t>Assurez-vous d'un accès à des quantités adéquates d'aliments complémentaires</w:t>
      </w:r>
      <w:r w:rsidR="00EB5875" w:rsidRPr="00A3111E">
        <w:rPr>
          <w:rStyle w:val="FootnoteReference"/>
          <w:rFonts w:ascii="Arial" w:hAnsi="Arial" w:cs="Arial"/>
          <w:b/>
          <w:color w:val="3A5536"/>
          <w:sz w:val="20"/>
          <w:szCs w:val="20"/>
        </w:rPr>
        <w:footnoteReference w:id="5"/>
      </w:r>
      <w:r w:rsidRPr="00A3111E">
        <w:rPr>
          <w:rFonts w:ascii="Arial" w:hAnsi="Arial" w:cs="Arial"/>
          <w:b/>
          <w:color w:val="3A5536"/>
          <w:sz w:val="20"/>
          <w:szCs w:val="20"/>
          <w:lang w:val="fr-FR"/>
        </w:rPr>
        <w:t xml:space="preserve"> appropriés et sûrs, ainsi qu'à l'information et aux moyens nécessaires pour nourrir en toute sécurité les nourrissons plus âgés et les jeunes enfants</w:t>
      </w:r>
      <w:r w:rsidRPr="00A3111E">
        <w:rPr>
          <w:rFonts w:ascii="Arial" w:hAnsi="Arial" w:cs="Arial"/>
          <w:bCs/>
          <w:color w:val="3A5536"/>
          <w:sz w:val="20"/>
          <w:szCs w:val="20"/>
          <w:lang w:val="fr-FR"/>
        </w:rPr>
        <w:t>. Garantissez la disponibilité et la continuité d'aliments nutritifs, frais et de produits de base essentiels à des prix abordables pour les enfants, les femmes et les familles. Lorsqu'il y a des lacunes identifiées dans l'accès local et la disponibilité des aliments, facilitez l'accès à des aliments complémentaires appropriés à l'âge et sûrs. Les familles doivent recevoir un soutien sur quoi, quand et comment nourrir les jeunes enfants à domicile, y compris toutes les précautions nécessaires et les considérations d'hygiène concernant la variole du singe (</w:t>
      </w:r>
      <w:proofErr w:type="spellStart"/>
      <w:r w:rsidRPr="00A3111E">
        <w:rPr>
          <w:rFonts w:ascii="Arial" w:hAnsi="Arial" w:cs="Arial"/>
          <w:bCs/>
          <w:color w:val="3A5536"/>
          <w:sz w:val="20"/>
          <w:szCs w:val="20"/>
          <w:lang w:val="fr-FR"/>
        </w:rPr>
        <w:t>Mpox</w:t>
      </w:r>
      <w:proofErr w:type="spellEnd"/>
      <w:r w:rsidRPr="00A3111E">
        <w:rPr>
          <w:rFonts w:ascii="Arial" w:hAnsi="Arial" w:cs="Arial"/>
          <w:bCs/>
          <w:color w:val="3A5536"/>
          <w:sz w:val="20"/>
          <w:szCs w:val="20"/>
          <w:lang w:val="fr-FR"/>
        </w:rPr>
        <w:t>), pour leur permettre de maintenir une alimentation saine, ainsi qu'un approvisionnement en eau potable et sûre pour leurs jeunes enfants.</w:t>
      </w:r>
    </w:p>
    <w:p w14:paraId="5396F4FF" w14:textId="77777777" w:rsidR="00F00B24" w:rsidRPr="00A3111E" w:rsidRDefault="00F00B24" w:rsidP="00F00B24">
      <w:pPr>
        <w:pStyle w:val="ListParagraph"/>
        <w:rPr>
          <w:rFonts w:ascii="Arial" w:hAnsi="Arial" w:cs="Arial"/>
          <w:b/>
          <w:color w:val="3A5536"/>
          <w:sz w:val="16"/>
          <w:szCs w:val="16"/>
          <w:lang w:val="fr-FR"/>
        </w:rPr>
      </w:pPr>
    </w:p>
    <w:p w14:paraId="47F4F33E" w14:textId="302EFB76" w:rsidR="00A81CD8" w:rsidRPr="00A3111E" w:rsidRDefault="00232160" w:rsidP="00F00B24">
      <w:pPr>
        <w:pStyle w:val="ListParagraph"/>
        <w:numPr>
          <w:ilvl w:val="0"/>
          <w:numId w:val="1"/>
        </w:numPr>
        <w:pBdr>
          <w:top w:val="nil"/>
          <w:left w:val="nil"/>
          <w:bottom w:val="nil"/>
          <w:right w:val="nil"/>
          <w:between w:val="nil"/>
        </w:pBdr>
        <w:tabs>
          <w:tab w:val="left" w:pos="2694"/>
        </w:tabs>
        <w:spacing w:after="0" w:line="240" w:lineRule="auto"/>
        <w:ind w:right="-347"/>
        <w:jc w:val="both"/>
        <w:rPr>
          <w:rFonts w:ascii="Arial" w:hAnsi="Arial" w:cs="Arial"/>
          <w:bCs/>
          <w:color w:val="3A5536"/>
          <w:spacing w:val="-4"/>
          <w:sz w:val="20"/>
          <w:szCs w:val="20"/>
          <w:lang w:val="fr-FR"/>
        </w:rPr>
      </w:pPr>
      <w:r w:rsidRPr="00A3111E">
        <w:rPr>
          <w:rFonts w:ascii="Arial" w:hAnsi="Arial" w:cs="Arial"/>
          <w:b/>
          <w:color w:val="3A5536"/>
          <w:spacing w:val="-4"/>
          <w:sz w:val="20"/>
          <w:szCs w:val="20"/>
          <w:lang w:val="fr-FR"/>
        </w:rPr>
        <w:t>Identifiez où résident les nourrissons, les enfants et les mères à haut risque, quel est le risque et répondez à leurs besoins.</w:t>
      </w:r>
      <w:r w:rsidRPr="00A3111E">
        <w:rPr>
          <w:rFonts w:ascii="Arial" w:hAnsi="Arial" w:cs="Arial"/>
          <w:bCs/>
          <w:color w:val="3A5536"/>
          <w:spacing w:val="-4"/>
          <w:sz w:val="20"/>
          <w:szCs w:val="20"/>
          <w:lang w:val="fr-FR"/>
        </w:rPr>
        <w:t xml:space="preserve"> Ces risques élevés comprennent (mais ne se limitent pas à) les nourrissons, les mères et les soignants principaux ayant un </w:t>
      </w:r>
      <w:proofErr w:type="spellStart"/>
      <w:r w:rsidRPr="00A3111E">
        <w:rPr>
          <w:rFonts w:ascii="Arial" w:hAnsi="Arial" w:cs="Arial"/>
          <w:bCs/>
          <w:color w:val="3A5536"/>
          <w:spacing w:val="-4"/>
          <w:sz w:val="20"/>
          <w:szCs w:val="20"/>
          <w:lang w:val="fr-FR"/>
        </w:rPr>
        <w:t>Mpox</w:t>
      </w:r>
      <w:proofErr w:type="spellEnd"/>
      <w:r w:rsidRPr="00A3111E">
        <w:rPr>
          <w:rFonts w:ascii="Arial" w:hAnsi="Arial" w:cs="Arial"/>
          <w:bCs/>
          <w:color w:val="3A5536"/>
          <w:spacing w:val="-4"/>
          <w:sz w:val="20"/>
          <w:szCs w:val="20"/>
          <w:lang w:val="fr-FR"/>
        </w:rPr>
        <w:t xml:space="preserve"> confirmé ou suspecté ; les enfants gravement malnutris, y compris les nourrissons de moins de 6 mois ; les enfants en situation de handicap ; les nourrissons exposés au VIH ; les nourrissons orphelins ; les mères malnutries ou gravement malades ; les mères traumatisées ; ainsi que les situations où les mères sont séparées de leurs enfants.</w:t>
      </w:r>
    </w:p>
    <w:p w14:paraId="67779824" w14:textId="77777777" w:rsidR="00A74346" w:rsidRPr="00A3111E" w:rsidRDefault="00A74346" w:rsidP="00A74346">
      <w:pPr>
        <w:pStyle w:val="ListParagraph"/>
        <w:rPr>
          <w:rFonts w:ascii="Arial" w:hAnsi="Arial" w:cs="Arial"/>
          <w:bCs/>
          <w:color w:val="3A5536"/>
          <w:spacing w:val="-4"/>
          <w:sz w:val="16"/>
          <w:szCs w:val="16"/>
          <w:lang w:val="fr-FR"/>
        </w:rPr>
      </w:pPr>
    </w:p>
    <w:p w14:paraId="51A31985" w14:textId="77777777" w:rsidR="00A74346" w:rsidRPr="00A3111E" w:rsidRDefault="00A74346" w:rsidP="00A74346">
      <w:pPr>
        <w:pStyle w:val="ListParagraph"/>
        <w:pBdr>
          <w:top w:val="nil"/>
          <w:left w:val="nil"/>
          <w:bottom w:val="nil"/>
          <w:right w:val="nil"/>
          <w:between w:val="nil"/>
        </w:pBdr>
        <w:tabs>
          <w:tab w:val="left" w:pos="2694"/>
        </w:tabs>
        <w:spacing w:after="0" w:line="240" w:lineRule="auto"/>
        <w:ind w:left="360" w:right="-347"/>
        <w:jc w:val="both"/>
        <w:rPr>
          <w:rFonts w:ascii="Arial" w:hAnsi="Arial" w:cs="Arial"/>
          <w:bCs/>
          <w:color w:val="3A5536"/>
          <w:spacing w:val="-4"/>
          <w:sz w:val="16"/>
          <w:szCs w:val="16"/>
          <w:lang w:val="fr-FR"/>
        </w:rPr>
      </w:pPr>
    </w:p>
    <w:p w14:paraId="6671F2D2" w14:textId="4BA16B23" w:rsidR="00FE7F17" w:rsidRPr="00A3111E" w:rsidRDefault="007B29A9" w:rsidP="00796A47">
      <w:pPr>
        <w:tabs>
          <w:tab w:val="left" w:pos="2694"/>
        </w:tabs>
        <w:spacing w:after="0" w:line="240" w:lineRule="auto"/>
        <w:ind w:right="-64"/>
        <w:jc w:val="center"/>
        <w:rPr>
          <w:rFonts w:ascii="Arial" w:hAnsi="Arial" w:cs="Arial"/>
          <w:b/>
          <w:noProof/>
          <w:color w:val="3A5536"/>
          <w:sz w:val="24"/>
          <w:szCs w:val="24"/>
          <w:lang w:val="fr-FR"/>
        </w:rPr>
      </w:pPr>
      <w:r w:rsidRPr="00A3111E">
        <w:rPr>
          <w:rFonts w:ascii="Arial" w:hAnsi="Arial" w:cs="Arial"/>
          <w:b/>
          <w:noProof/>
          <w:sz w:val="24"/>
          <w:szCs w:val="24"/>
          <w:u w:val="single"/>
        </w:rPr>
        <mc:AlternateContent>
          <mc:Choice Requires="wps">
            <w:drawing>
              <wp:anchor distT="45720" distB="45720" distL="114300" distR="114300" simplePos="0" relativeHeight="251673600" behindDoc="0" locked="0" layoutInCell="1" allowOverlap="1" wp14:anchorId="4EF9E7E9" wp14:editId="1F313171">
                <wp:simplePos x="0" y="0"/>
                <wp:positionH relativeFrom="margin">
                  <wp:posOffset>-94891</wp:posOffset>
                </wp:positionH>
                <wp:positionV relativeFrom="margin">
                  <wp:posOffset>7325456</wp:posOffset>
                </wp:positionV>
                <wp:extent cx="6904355" cy="871268"/>
                <wp:effectExtent l="0" t="0" r="17145" b="17780"/>
                <wp:wrapNone/>
                <wp:docPr id="20339108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4355" cy="871268"/>
                        </a:xfrm>
                        <a:prstGeom prst="rect">
                          <a:avLst/>
                        </a:prstGeom>
                        <a:solidFill>
                          <a:schemeClr val="accent3">
                            <a:lumMod val="60000"/>
                            <a:lumOff val="40000"/>
                          </a:schemeClr>
                        </a:solidFill>
                        <a:ln w="9525">
                          <a:solidFill>
                            <a:srgbClr val="63A537"/>
                          </a:solidFill>
                          <a:miter lim="800000"/>
                          <a:headEnd/>
                          <a:tailEnd/>
                        </a:ln>
                      </wps:spPr>
                      <wps:txbx>
                        <w:txbxContent>
                          <w:p w14:paraId="3070DCE6" w14:textId="3210DF5F" w:rsidR="00FE7F17" w:rsidRPr="000F6EF3" w:rsidRDefault="00FE7F17" w:rsidP="00FE7F17">
                            <w:pPr>
                              <w:spacing w:after="0" w:line="240" w:lineRule="auto"/>
                              <w:rPr>
                                <w:rFonts w:asciiTheme="majorHAnsi" w:hAnsiTheme="majorHAnsi" w:cstheme="majorHAnsi"/>
                                <w:b/>
                                <w:sz w:val="20"/>
                                <w:szCs w:val="20"/>
                                <w:lang w:val="fr-FR"/>
                              </w:rPr>
                            </w:pPr>
                            <w:r w:rsidRPr="000F6EF3">
                              <w:rPr>
                                <w:rFonts w:asciiTheme="majorHAnsi" w:hAnsiTheme="majorHAnsi" w:cstheme="majorHAnsi"/>
                                <w:b/>
                                <w:sz w:val="20"/>
                                <w:szCs w:val="20"/>
                                <w:lang w:val="fr-FR"/>
                              </w:rPr>
                              <w:t>Ressources</w:t>
                            </w:r>
                            <w:r>
                              <w:rPr>
                                <w:rFonts w:asciiTheme="majorHAnsi" w:hAnsiTheme="majorHAnsi" w:cstheme="majorHAnsi"/>
                                <w:b/>
                                <w:sz w:val="20"/>
                                <w:szCs w:val="20"/>
                                <w:lang w:val="fr-FR"/>
                              </w:rPr>
                              <w:t xml:space="preserve"> </w:t>
                            </w:r>
                            <w:r w:rsidRPr="000F6EF3">
                              <w:rPr>
                                <w:rFonts w:asciiTheme="majorHAnsi" w:hAnsiTheme="majorHAnsi" w:cstheme="majorHAnsi"/>
                                <w:b/>
                                <w:sz w:val="20"/>
                                <w:szCs w:val="20"/>
                                <w:lang w:val="fr-FR"/>
                              </w:rPr>
                              <w:t>:</w:t>
                            </w:r>
                            <w:r>
                              <w:rPr>
                                <w:rFonts w:asciiTheme="majorHAnsi" w:hAnsiTheme="majorHAnsi" w:cstheme="majorHAnsi"/>
                                <w:b/>
                                <w:sz w:val="20"/>
                                <w:szCs w:val="20"/>
                                <w:lang w:val="fr-FR"/>
                              </w:rPr>
                              <w:t xml:space="preserve"> </w:t>
                            </w:r>
                            <w:r w:rsidRPr="000F6EF3">
                              <w:rPr>
                                <w:rFonts w:asciiTheme="majorHAnsi" w:hAnsiTheme="majorHAnsi" w:cstheme="majorHAnsi"/>
                                <w:b/>
                                <w:sz w:val="20"/>
                                <w:szCs w:val="20"/>
                                <w:lang w:val="fr-FR"/>
                              </w:rPr>
                              <w:t xml:space="preserve">Des ressources à jour peuvent être trouvées sur le </w:t>
                            </w:r>
                            <w:proofErr w:type="spellStart"/>
                            <w:r w:rsidRPr="000F6EF3">
                              <w:rPr>
                                <w:rFonts w:asciiTheme="majorHAnsi" w:hAnsiTheme="majorHAnsi" w:cstheme="majorHAnsi"/>
                                <w:b/>
                                <w:sz w:val="20"/>
                                <w:szCs w:val="20"/>
                                <w:lang w:val="fr-FR"/>
                              </w:rPr>
                              <w:t>Mpox</w:t>
                            </w:r>
                            <w:proofErr w:type="spellEnd"/>
                            <w:r w:rsidRPr="000F6EF3">
                              <w:rPr>
                                <w:rFonts w:asciiTheme="majorHAnsi" w:hAnsiTheme="majorHAnsi" w:cstheme="majorHAnsi"/>
                                <w:b/>
                                <w:sz w:val="20"/>
                                <w:szCs w:val="20"/>
                                <w:lang w:val="fr-FR"/>
                              </w:rPr>
                              <w:t xml:space="preserve"> and IYCF collection sur </w:t>
                            </w:r>
                            <w:hyperlink r:id="rId13" w:history="1">
                              <w:r w:rsidRPr="0081641E">
                                <w:rPr>
                                  <w:rStyle w:val="Hyperlink"/>
                                  <w:rFonts w:asciiTheme="majorHAnsi" w:hAnsiTheme="majorHAnsi" w:cstheme="majorHAnsi"/>
                                  <w:b/>
                                  <w:sz w:val="20"/>
                                  <w:szCs w:val="20"/>
                                  <w:lang w:val="fr-FR"/>
                                </w:rPr>
                                <w:t>le IYCF Hub</w:t>
                              </w:r>
                            </w:hyperlink>
                            <w:r>
                              <w:rPr>
                                <w:rFonts w:asciiTheme="majorHAnsi" w:hAnsiTheme="majorHAnsi" w:cstheme="majorHAnsi"/>
                                <w:b/>
                                <w:sz w:val="20"/>
                                <w:szCs w:val="20"/>
                                <w:lang w:val="fr-FR"/>
                              </w:rPr>
                              <w:t>.</w:t>
                            </w:r>
                            <w:r w:rsidRPr="000F6EF3">
                              <w:rPr>
                                <w:rFonts w:asciiTheme="majorHAnsi" w:hAnsiTheme="majorHAnsi" w:cstheme="majorHAnsi"/>
                                <w:b/>
                                <w:sz w:val="20"/>
                                <w:szCs w:val="20"/>
                                <w:lang w:val="fr-FR"/>
                              </w:rPr>
                              <w:t xml:space="preserve"> </w:t>
                            </w:r>
                          </w:p>
                          <w:p w14:paraId="7D69FF3E" w14:textId="310189D1" w:rsidR="00FE7F17" w:rsidRPr="000F6EF3" w:rsidRDefault="007B29A9" w:rsidP="00FE7F17">
                            <w:pPr>
                              <w:spacing w:after="0" w:line="240" w:lineRule="auto"/>
                              <w:rPr>
                                <w:rFonts w:ascii="Arial" w:hAnsi="Arial" w:cs="Arial"/>
                                <w:sz w:val="18"/>
                                <w:szCs w:val="18"/>
                                <w:lang w:val="fr-FR"/>
                              </w:rPr>
                            </w:pPr>
                            <w:r w:rsidRPr="007B29A9">
                              <w:rPr>
                                <w:rFonts w:asciiTheme="majorHAnsi" w:hAnsiTheme="majorHAnsi" w:cstheme="majorHAnsi"/>
                                <w:sz w:val="20"/>
                                <w:szCs w:val="20"/>
                              </w:rPr>
                              <w:t xml:space="preserve">Si </w:t>
                            </w:r>
                            <w:proofErr w:type="spellStart"/>
                            <w:r w:rsidRPr="007B29A9">
                              <w:rPr>
                                <w:rFonts w:asciiTheme="majorHAnsi" w:hAnsiTheme="majorHAnsi" w:cstheme="majorHAnsi"/>
                                <w:sz w:val="20"/>
                                <w:szCs w:val="20"/>
                              </w:rPr>
                              <w:t>vous</w:t>
                            </w:r>
                            <w:proofErr w:type="spellEnd"/>
                            <w:r w:rsidRPr="007B29A9">
                              <w:rPr>
                                <w:rFonts w:asciiTheme="majorHAnsi" w:hAnsiTheme="majorHAnsi" w:cstheme="majorHAnsi"/>
                                <w:sz w:val="20"/>
                                <w:szCs w:val="20"/>
                              </w:rPr>
                              <w:t xml:space="preserve"> </w:t>
                            </w:r>
                            <w:proofErr w:type="spellStart"/>
                            <w:r w:rsidRPr="007B29A9">
                              <w:rPr>
                                <w:rFonts w:asciiTheme="majorHAnsi" w:hAnsiTheme="majorHAnsi" w:cstheme="majorHAnsi"/>
                                <w:sz w:val="20"/>
                                <w:szCs w:val="20"/>
                              </w:rPr>
                              <w:t>avez</w:t>
                            </w:r>
                            <w:proofErr w:type="spellEnd"/>
                            <w:r w:rsidRPr="007B29A9">
                              <w:rPr>
                                <w:rFonts w:asciiTheme="majorHAnsi" w:hAnsiTheme="majorHAnsi" w:cstheme="majorHAnsi"/>
                                <w:sz w:val="20"/>
                                <w:szCs w:val="20"/>
                              </w:rPr>
                              <w:t xml:space="preserve"> des questions </w:t>
                            </w:r>
                            <w:proofErr w:type="spellStart"/>
                            <w:r w:rsidRPr="007B29A9">
                              <w:rPr>
                                <w:rFonts w:asciiTheme="majorHAnsi" w:hAnsiTheme="majorHAnsi" w:cstheme="majorHAnsi"/>
                                <w:sz w:val="20"/>
                                <w:szCs w:val="20"/>
                              </w:rPr>
                              <w:t>spécifiques</w:t>
                            </w:r>
                            <w:proofErr w:type="spellEnd"/>
                            <w:r w:rsidRPr="007B29A9">
                              <w:rPr>
                                <w:rFonts w:asciiTheme="majorHAnsi" w:hAnsiTheme="majorHAnsi" w:cstheme="majorHAnsi"/>
                                <w:sz w:val="20"/>
                                <w:szCs w:val="20"/>
                              </w:rPr>
                              <w:t xml:space="preserve"> </w:t>
                            </w:r>
                            <w:proofErr w:type="spellStart"/>
                            <w:r w:rsidRPr="007B29A9">
                              <w:rPr>
                                <w:rFonts w:asciiTheme="majorHAnsi" w:hAnsiTheme="majorHAnsi" w:cstheme="majorHAnsi"/>
                                <w:sz w:val="20"/>
                                <w:szCs w:val="20"/>
                              </w:rPr>
                              <w:t>concernant</w:t>
                            </w:r>
                            <w:proofErr w:type="spellEnd"/>
                            <w:r w:rsidRPr="007B29A9">
                              <w:rPr>
                                <w:rFonts w:asciiTheme="majorHAnsi" w:hAnsiTheme="majorHAnsi" w:cstheme="majorHAnsi"/>
                                <w:sz w:val="20"/>
                                <w:szCs w:val="20"/>
                              </w:rPr>
                              <w:t xml:space="preserve"> </w:t>
                            </w:r>
                            <w:proofErr w:type="spellStart"/>
                            <w:r w:rsidRPr="007B29A9">
                              <w:rPr>
                                <w:rFonts w:asciiTheme="majorHAnsi" w:hAnsiTheme="majorHAnsi" w:cstheme="majorHAnsi"/>
                                <w:sz w:val="20"/>
                                <w:szCs w:val="20"/>
                              </w:rPr>
                              <w:t>l'ANJE</w:t>
                            </w:r>
                            <w:proofErr w:type="spellEnd"/>
                            <w:r w:rsidRPr="007B29A9">
                              <w:rPr>
                                <w:rFonts w:asciiTheme="majorHAnsi" w:hAnsiTheme="majorHAnsi" w:cstheme="majorHAnsi"/>
                                <w:sz w:val="20"/>
                                <w:szCs w:val="20"/>
                              </w:rPr>
                              <w:t xml:space="preserve"> dans le </w:t>
                            </w:r>
                            <w:proofErr w:type="spellStart"/>
                            <w:r w:rsidRPr="007B29A9">
                              <w:rPr>
                                <w:rFonts w:asciiTheme="majorHAnsi" w:hAnsiTheme="majorHAnsi" w:cstheme="majorHAnsi"/>
                                <w:sz w:val="20"/>
                                <w:szCs w:val="20"/>
                              </w:rPr>
                              <w:t>contexte</w:t>
                            </w:r>
                            <w:proofErr w:type="spellEnd"/>
                            <w:r w:rsidRPr="007B29A9">
                              <w:rPr>
                                <w:rFonts w:asciiTheme="majorHAnsi" w:hAnsiTheme="majorHAnsi" w:cstheme="majorHAnsi"/>
                                <w:sz w:val="20"/>
                                <w:szCs w:val="20"/>
                              </w:rPr>
                              <w:t xml:space="preserve"> de la variole du singe </w:t>
                            </w:r>
                            <w:proofErr w:type="spellStart"/>
                            <w:r w:rsidRPr="007B29A9">
                              <w:rPr>
                                <w:rFonts w:asciiTheme="majorHAnsi" w:hAnsiTheme="majorHAnsi" w:cstheme="majorHAnsi"/>
                                <w:sz w:val="20"/>
                                <w:szCs w:val="20"/>
                              </w:rPr>
                              <w:t>ou</w:t>
                            </w:r>
                            <w:proofErr w:type="spellEnd"/>
                            <w:r w:rsidRPr="007B29A9">
                              <w:rPr>
                                <w:rFonts w:asciiTheme="majorHAnsi" w:hAnsiTheme="majorHAnsi" w:cstheme="majorHAnsi"/>
                                <w:sz w:val="20"/>
                                <w:szCs w:val="20"/>
                              </w:rPr>
                              <w:t xml:space="preserve"> </w:t>
                            </w:r>
                            <w:proofErr w:type="spellStart"/>
                            <w:r w:rsidRPr="007B29A9">
                              <w:rPr>
                                <w:rFonts w:asciiTheme="majorHAnsi" w:hAnsiTheme="majorHAnsi" w:cstheme="majorHAnsi"/>
                                <w:sz w:val="20"/>
                                <w:szCs w:val="20"/>
                              </w:rPr>
                              <w:t>si</w:t>
                            </w:r>
                            <w:proofErr w:type="spellEnd"/>
                            <w:r w:rsidRPr="007B29A9">
                              <w:rPr>
                                <w:rFonts w:asciiTheme="majorHAnsi" w:hAnsiTheme="majorHAnsi" w:cstheme="majorHAnsi"/>
                                <w:sz w:val="20"/>
                                <w:szCs w:val="20"/>
                              </w:rPr>
                              <w:t xml:space="preserve"> </w:t>
                            </w:r>
                            <w:proofErr w:type="spellStart"/>
                            <w:r w:rsidRPr="007B29A9">
                              <w:rPr>
                                <w:rFonts w:asciiTheme="majorHAnsi" w:hAnsiTheme="majorHAnsi" w:cstheme="majorHAnsi"/>
                                <w:sz w:val="20"/>
                                <w:szCs w:val="20"/>
                              </w:rPr>
                              <w:t>vous</w:t>
                            </w:r>
                            <w:proofErr w:type="spellEnd"/>
                            <w:r w:rsidRPr="007B29A9">
                              <w:rPr>
                                <w:rFonts w:asciiTheme="majorHAnsi" w:hAnsiTheme="majorHAnsi" w:cstheme="majorHAnsi"/>
                                <w:sz w:val="20"/>
                                <w:szCs w:val="20"/>
                              </w:rPr>
                              <w:t xml:space="preserve"> </w:t>
                            </w:r>
                            <w:proofErr w:type="spellStart"/>
                            <w:r w:rsidRPr="007B29A9">
                              <w:rPr>
                                <w:rFonts w:asciiTheme="majorHAnsi" w:hAnsiTheme="majorHAnsi" w:cstheme="majorHAnsi"/>
                                <w:sz w:val="20"/>
                                <w:szCs w:val="20"/>
                              </w:rPr>
                              <w:t>avez</w:t>
                            </w:r>
                            <w:proofErr w:type="spellEnd"/>
                            <w:r w:rsidRPr="007B29A9">
                              <w:rPr>
                                <w:rFonts w:asciiTheme="majorHAnsi" w:hAnsiTheme="majorHAnsi" w:cstheme="majorHAnsi"/>
                                <w:sz w:val="20"/>
                                <w:szCs w:val="20"/>
                              </w:rPr>
                              <w:t xml:space="preserve"> </w:t>
                            </w:r>
                            <w:proofErr w:type="spellStart"/>
                            <w:r w:rsidRPr="007B29A9">
                              <w:rPr>
                                <w:rFonts w:asciiTheme="majorHAnsi" w:hAnsiTheme="majorHAnsi" w:cstheme="majorHAnsi"/>
                                <w:sz w:val="20"/>
                                <w:szCs w:val="20"/>
                              </w:rPr>
                              <w:t>besoin</w:t>
                            </w:r>
                            <w:proofErr w:type="spellEnd"/>
                            <w:r w:rsidRPr="007B29A9">
                              <w:rPr>
                                <w:rFonts w:asciiTheme="majorHAnsi" w:hAnsiTheme="majorHAnsi" w:cstheme="majorHAnsi"/>
                                <w:sz w:val="20"/>
                                <w:szCs w:val="20"/>
                              </w:rPr>
                              <w:t xml:space="preserve"> </w:t>
                            </w:r>
                            <w:proofErr w:type="spellStart"/>
                            <w:r w:rsidRPr="007B29A9">
                              <w:rPr>
                                <w:rFonts w:asciiTheme="majorHAnsi" w:hAnsiTheme="majorHAnsi" w:cstheme="majorHAnsi"/>
                                <w:sz w:val="20"/>
                                <w:szCs w:val="20"/>
                              </w:rPr>
                              <w:t>d'assistance</w:t>
                            </w:r>
                            <w:proofErr w:type="spellEnd"/>
                            <w:r w:rsidRPr="007B29A9">
                              <w:rPr>
                                <w:rFonts w:asciiTheme="majorHAnsi" w:hAnsiTheme="majorHAnsi" w:cstheme="majorHAnsi"/>
                                <w:sz w:val="20"/>
                                <w:szCs w:val="20"/>
                              </w:rPr>
                              <w:t xml:space="preserve">, </w:t>
                            </w:r>
                            <w:proofErr w:type="spellStart"/>
                            <w:r w:rsidRPr="007B29A9">
                              <w:rPr>
                                <w:rFonts w:asciiTheme="majorHAnsi" w:hAnsiTheme="majorHAnsi" w:cstheme="majorHAnsi"/>
                                <w:sz w:val="20"/>
                                <w:szCs w:val="20"/>
                              </w:rPr>
                              <w:t>veuillez</w:t>
                            </w:r>
                            <w:proofErr w:type="spellEnd"/>
                            <w:r w:rsidRPr="007B29A9">
                              <w:rPr>
                                <w:rFonts w:asciiTheme="majorHAnsi" w:hAnsiTheme="majorHAnsi" w:cstheme="majorHAnsi"/>
                                <w:sz w:val="20"/>
                                <w:szCs w:val="20"/>
                              </w:rPr>
                              <w:t xml:space="preserve"> </w:t>
                            </w:r>
                            <w:proofErr w:type="spellStart"/>
                            <w:r w:rsidRPr="007B29A9">
                              <w:rPr>
                                <w:rFonts w:asciiTheme="majorHAnsi" w:hAnsiTheme="majorHAnsi" w:cstheme="majorHAnsi"/>
                                <w:sz w:val="20"/>
                                <w:szCs w:val="20"/>
                              </w:rPr>
                              <w:t>contacter</w:t>
                            </w:r>
                            <w:proofErr w:type="spellEnd"/>
                            <w:r w:rsidRPr="007B29A9">
                              <w:rPr>
                                <w:rFonts w:asciiTheme="majorHAnsi" w:hAnsiTheme="majorHAnsi" w:cstheme="majorHAnsi"/>
                                <w:sz w:val="20"/>
                                <w:szCs w:val="20"/>
                              </w:rPr>
                              <w:t xml:space="preserve"> le service </w:t>
                            </w:r>
                            <w:proofErr w:type="spellStart"/>
                            <w:r w:rsidRPr="007B29A9">
                              <w:rPr>
                                <w:rFonts w:asciiTheme="majorHAnsi" w:hAnsiTheme="majorHAnsi" w:cstheme="majorHAnsi"/>
                                <w:sz w:val="20"/>
                                <w:szCs w:val="20"/>
                              </w:rPr>
                              <w:t>d'assistance</w:t>
                            </w:r>
                            <w:proofErr w:type="spellEnd"/>
                            <w:r w:rsidRPr="007B29A9">
                              <w:rPr>
                                <w:rFonts w:asciiTheme="majorHAnsi" w:hAnsiTheme="majorHAnsi" w:cstheme="majorHAnsi"/>
                                <w:sz w:val="20"/>
                                <w:szCs w:val="20"/>
                              </w:rPr>
                              <w:t xml:space="preserve"> Nutrition </w:t>
                            </w:r>
                            <w:proofErr w:type="spellStart"/>
                            <w:r w:rsidRPr="007B29A9">
                              <w:rPr>
                                <w:rFonts w:asciiTheme="majorHAnsi" w:hAnsiTheme="majorHAnsi" w:cstheme="majorHAnsi"/>
                                <w:sz w:val="20"/>
                                <w:szCs w:val="20"/>
                              </w:rPr>
                              <w:t>en</w:t>
                            </w:r>
                            <w:proofErr w:type="spellEnd"/>
                            <w:r w:rsidRPr="007B29A9">
                              <w:rPr>
                                <w:rFonts w:asciiTheme="majorHAnsi" w:hAnsiTheme="majorHAnsi" w:cstheme="majorHAnsi"/>
                                <w:sz w:val="20"/>
                                <w:szCs w:val="20"/>
                              </w:rPr>
                              <w:t xml:space="preserve"> situations </w:t>
                            </w:r>
                            <w:proofErr w:type="spellStart"/>
                            <w:r w:rsidRPr="007B29A9">
                              <w:rPr>
                                <w:rFonts w:asciiTheme="majorHAnsi" w:hAnsiTheme="majorHAnsi" w:cstheme="majorHAnsi"/>
                                <w:sz w:val="20"/>
                                <w:szCs w:val="20"/>
                              </w:rPr>
                              <w:t>d'urgence</w:t>
                            </w:r>
                            <w:proofErr w:type="spellEnd"/>
                            <w:r w:rsidRPr="007B29A9">
                              <w:rPr>
                                <w:rFonts w:asciiTheme="majorHAnsi" w:hAnsiTheme="majorHAnsi" w:cstheme="majorHAnsi"/>
                                <w:sz w:val="20"/>
                                <w:szCs w:val="20"/>
                              </w:rPr>
                              <w:t xml:space="preserve"> du Cluster </w:t>
                            </w:r>
                            <w:proofErr w:type="spellStart"/>
                            <w:r w:rsidRPr="007B29A9">
                              <w:rPr>
                                <w:rFonts w:asciiTheme="majorHAnsi" w:hAnsiTheme="majorHAnsi" w:cstheme="majorHAnsi"/>
                                <w:sz w:val="20"/>
                                <w:szCs w:val="20"/>
                              </w:rPr>
                              <w:t>mondial</w:t>
                            </w:r>
                            <w:proofErr w:type="spellEnd"/>
                            <w:r w:rsidRPr="007B29A9">
                              <w:rPr>
                                <w:rFonts w:asciiTheme="majorHAnsi" w:hAnsiTheme="majorHAnsi" w:cstheme="majorHAnsi"/>
                                <w:sz w:val="20"/>
                                <w:szCs w:val="20"/>
                              </w:rPr>
                              <w:t xml:space="preserve"> de la nutrition à </w:t>
                            </w:r>
                            <w:proofErr w:type="spellStart"/>
                            <w:r w:rsidRPr="007B29A9">
                              <w:rPr>
                                <w:rFonts w:asciiTheme="majorHAnsi" w:hAnsiTheme="majorHAnsi" w:cstheme="majorHAnsi"/>
                                <w:sz w:val="20"/>
                                <w:szCs w:val="20"/>
                              </w:rPr>
                              <w:t>l'adresse</w:t>
                            </w:r>
                            <w:proofErr w:type="spellEnd"/>
                            <w:r w:rsidRPr="007B29A9">
                              <w:rPr>
                                <w:rFonts w:asciiTheme="majorHAnsi" w:hAnsiTheme="majorHAnsi" w:cstheme="majorHAnsi"/>
                                <w:sz w:val="20"/>
                                <w:szCs w:val="20"/>
                              </w:rPr>
                              <w:t xml:space="preserve"> </w:t>
                            </w:r>
                            <w:proofErr w:type="spellStart"/>
                            <w:r w:rsidRPr="007B29A9">
                              <w:rPr>
                                <w:rFonts w:asciiTheme="majorHAnsi" w:hAnsiTheme="majorHAnsi" w:cstheme="majorHAnsi"/>
                                <w:sz w:val="20"/>
                                <w:szCs w:val="20"/>
                              </w:rPr>
                              <w:t>suivante</w:t>
                            </w:r>
                            <w:proofErr w:type="spellEnd"/>
                            <w:r w:rsidRPr="007B29A9">
                              <w:rPr>
                                <w:rFonts w:asciiTheme="majorHAnsi" w:hAnsiTheme="majorHAnsi" w:cstheme="majorHAnsi"/>
                                <w:sz w:val="20"/>
                                <w:szCs w:val="20"/>
                              </w:rPr>
                              <w:t xml:space="preserve"> : </w:t>
                            </w:r>
                            <w:hyperlink r:id="rId14" w:tgtFrame="_new" w:history="1">
                              <w:r w:rsidRPr="007B29A9">
                                <w:rPr>
                                  <w:rStyle w:val="Hyperlink"/>
                                  <w:rFonts w:asciiTheme="majorHAnsi" w:hAnsiTheme="majorHAnsi" w:cstheme="majorHAnsi"/>
                                  <w:sz w:val="20"/>
                                  <w:szCs w:val="20"/>
                                </w:rPr>
                                <w:t>https://www.nutritioncluster.net/</w:t>
                              </w:r>
                            </w:hyperlink>
                            <w:r w:rsidRPr="007B29A9">
                              <w:rPr>
                                <w:rFonts w:asciiTheme="majorHAnsi" w:hAnsiTheme="majorHAnsi" w:cstheme="majorHAnsi"/>
                                <w:sz w:val="20"/>
                                <w:szCs w:val="20"/>
                              </w:rPr>
                              <w:t xml:space="preserve"> </w:t>
                            </w:r>
                            <w:proofErr w:type="spellStart"/>
                            <w:r w:rsidRPr="007B29A9">
                              <w:rPr>
                                <w:rFonts w:asciiTheme="majorHAnsi" w:hAnsiTheme="majorHAnsi" w:cstheme="majorHAnsi"/>
                                <w:sz w:val="20"/>
                                <w:szCs w:val="20"/>
                              </w:rPr>
                              <w:t>ou</w:t>
                            </w:r>
                            <w:proofErr w:type="spellEnd"/>
                            <w:r w:rsidRPr="007B29A9">
                              <w:rPr>
                                <w:rFonts w:asciiTheme="majorHAnsi" w:hAnsiTheme="majorHAnsi" w:cstheme="majorHAnsi"/>
                                <w:sz w:val="20"/>
                                <w:szCs w:val="20"/>
                              </w:rPr>
                              <w:t xml:space="preserve"> </w:t>
                            </w:r>
                            <w:proofErr w:type="spellStart"/>
                            <w:r w:rsidRPr="007B29A9">
                              <w:rPr>
                                <w:rFonts w:asciiTheme="majorHAnsi" w:hAnsiTheme="majorHAnsi" w:cstheme="majorHAnsi"/>
                                <w:sz w:val="20"/>
                                <w:szCs w:val="20"/>
                              </w:rPr>
                              <w:t>posez</w:t>
                            </w:r>
                            <w:proofErr w:type="spellEnd"/>
                            <w:r w:rsidRPr="007B29A9">
                              <w:rPr>
                                <w:rFonts w:asciiTheme="majorHAnsi" w:hAnsiTheme="majorHAnsi" w:cstheme="majorHAnsi"/>
                                <w:sz w:val="20"/>
                                <w:szCs w:val="20"/>
                              </w:rPr>
                              <w:t xml:space="preserve"> </w:t>
                            </w:r>
                            <w:proofErr w:type="spellStart"/>
                            <w:r w:rsidRPr="007B29A9">
                              <w:rPr>
                                <w:rFonts w:asciiTheme="majorHAnsi" w:hAnsiTheme="majorHAnsi" w:cstheme="majorHAnsi"/>
                                <w:sz w:val="20"/>
                                <w:szCs w:val="20"/>
                              </w:rPr>
                              <w:t>vos</w:t>
                            </w:r>
                            <w:proofErr w:type="spellEnd"/>
                            <w:r w:rsidRPr="007B29A9">
                              <w:rPr>
                                <w:rFonts w:asciiTheme="majorHAnsi" w:hAnsiTheme="majorHAnsi" w:cstheme="majorHAnsi"/>
                                <w:sz w:val="20"/>
                                <w:szCs w:val="20"/>
                              </w:rPr>
                              <w:t xml:space="preserve"> questions sur le forum de discussion </w:t>
                            </w:r>
                            <w:proofErr w:type="spellStart"/>
                            <w:r w:rsidRPr="007B29A9">
                              <w:rPr>
                                <w:rFonts w:asciiTheme="majorHAnsi" w:hAnsiTheme="majorHAnsi" w:cstheme="majorHAnsi"/>
                                <w:sz w:val="20"/>
                                <w:szCs w:val="20"/>
                              </w:rPr>
                              <w:t>d'en</w:t>
                            </w:r>
                            <w:proofErr w:type="spellEnd"/>
                            <w:r w:rsidRPr="007B29A9">
                              <w:rPr>
                                <w:rFonts w:asciiTheme="majorHAnsi" w:hAnsiTheme="majorHAnsi" w:cstheme="majorHAnsi"/>
                                <w:sz w:val="20"/>
                                <w:szCs w:val="20"/>
                              </w:rPr>
                              <w:t xml:space="preserve">-net sur la </w:t>
                            </w:r>
                            <w:proofErr w:type="spellStart"/>
                            <w:r w:rsidRPr="007B29A9">
                              <w:rPr>
                                <w:rFonts w:asciiTheme="majorHAnsi" w:hAnsiTheme="majorHAnsi" w:cstheme="majorHAnsi"/>
                                <w:sz w:val="20"/>
                                <w:szCs w:val="20"/>
                              </w:rPr>
                              <w:t>programmation</w:t>
                            </w:r>
                            <w:proofErr w:type="spellEnd"/>
                            <w:r w:rsidRPr="007B29A9">
                              <w:rPr>
                                <w:rFonts w:asciiTheme="majorHAnsi" w:hAnsiTheme="majorHAnsi" w:cstheme="majorHAnsi"/>
                                <w:sz w:val="20"/>
                                <w:szCs w:val="20"/>
                              </w:rPr>
                              <w:t xml:space="preserve"> </w:t>
                            </w:r>
                            <w:proofErr w:type="spellStart"/>
                            <w:r w:rsidRPr="007B29A9">
                              <w:rPr>
                                <w:rFonts w:asciiTheme="majorHAnsi" w:hAnsiTheme="majorHAnsi" w:cstheme="majorHAnsi"/>
                                <w:sz w:val="20"/>
                                <w:szCs w:val="20"/>
                              </w:rPr>
                              <w:t>nutritionnelle</w:t>
                            </w:r>
                            <w:proofErr w:type="spellEnd"/>
                            <w:r w:rsidRPr="007B29A9">
                              <w:rPr>
                                <w:rFonts w:asciiTheme="majorHAnsi" w:hAnsiTheme="majorHAnsi" w:cstheme="majorHAnsi"/>
                                <w:sz w:val="20"/>
                                <w:szCs w:val="20"/>
                              </w:rPr>
                              <w:t xml:space="preserve"> et la variole du singe : </w:t>
                            </w:r>
                            <w:hyperlink r:id="rId15" w:tgtFrame="_new" w:history="1">
                              <w:r w:rsidRPr="007B29A9">
                                <w:rPr>
                                  <w:rStyle w:val="Hyperlink"/>
                                  <w:rFonts w:asciiTheme="majorHAnsi" w:hAnsiTheme="majorHAnsi" w:cstheme="majorHAnsi"/>
                                  <w:sz w:val="20"/>
                                  <w:szCs w:val="20"/>
                                </w:rPr>
                                <w:t>https://www.en-net.org/forum/question/5125</w:t>
                              </w:r>
                            </w:hyperlink>
                            <w:r w:rsidRPr="007B29A9">
                              <w:rPr>
                                <w:rFonts w:asciiTheme="majorHAnsi" w:hAnsiTheme="majorHAnsi" w:cstheme="maj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9E7E9" id="Text Box 2" o:spid="_x0000_s1027" type="#_x0000_t202" style="position:absolute;left:0;text-align:left;margin-left:-7.45pt;margin-top:576.8pt;width:543.65pt;height:68.6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" fillcolor="#c2d69b [1942]" strokecolor="#63a537">
                <v:textbox>
                  <w:txbxContent>
                    <w:p w14:paraId="3070DCE6" w14:textId="3210DF5F" w:rsidR="00FE7F17" w:rsidRPr="000F6EF3" w:rsidRDefault="00FE7F17" w:rsidP="00FE7F17">
                      <w:pPr>
                        <w:spacing w:after="0" w:line="240" w:lineRule="auto"/>
                        <w:rPr>
                          <w:rFonts w:asciiTheme="majorHAnsi" w:hAnsiTheme="majorHAnsi" w:cstheme="majorHAnsi"/>
                          <w:b/>
                          <w:sz w:val="20"/>
                          <w:szCs w:val="20"/>
                          <w:lang w:val="fr-FR"/>
                        </w:rPr>
                      </w:pPr>
                      <w:r w:rsidRPr="000F6EF3">
                        <w:rPr>
                          <w:rFonts w:asciiTheme="majorHAnsi" w:hAnsiTheme="majorHAnsi" w:cstheme="majorHAnsi"/>
                          <w:b/>
                          <w:sz w:val="20"/>
                          <w:szCs w:val="20"/>
                          <w:lang w:val="fr-FR"/>
                        </w:rPr>
                        <w:t>Ressources</w:t>
                      </w:r>
                      <w:r>
                        <w:rPr>
                          <w:rFonts w:asciiTheme="majorHAnsi" w:hAnsiTheme="majorHAnsi" w:cstheme="majorHAnsi"/>
                          <w:b/>
                          <w:sz w:val="20"/>
                          <w:szCs w:val="20"/>
                          <w:lang w:val="fr-FR"/>
                        </w:rPr>
                        <w:t xml:space="preserve"> </w:t>
                      </w:r>
                      <w:r w:rsidRPr="000F6EF3">
                        <w:rPr>
                          <w:rFonts w:asciiTheme="majorHAnsi" w:hAnsiTheme="majorHAnsi" w:cstheme="majorHAnsi"/>
                          <w:b/>
                          <w:sz w:val="20"/>
                          <w:szCs w:val="20"/>
                          <w:lang w:val="fr-FR"/>
                        </w:rPr>
                        <w:t>:</w:t>
                      </w:r>
                      <w:r>
                        <w:rPr>
                          <w:rFonts w:asciiTheme="majorHAnsi" w:hAnsiTheme="majorHAnsi" w:cstheme="majorHAnsi"/>
                          <w:b/>
                          <w:sz w:val="20"/>
                          <w:szCs w:val="20"/>
                          <w:lang w:val="fr-FR"/>
                        </w:rPr>
                        <w:t xml:space="preserve"> </w:t>
                      </w:r>
                      <w:r w:rsidRPr="000F6EF3">
                        <w:rPr>
                          <w:rFonts w:asciiTheme="majorHAnsi" w:hAnsiTheme="majorHAnsi" w:cstheme="majorHAnsi"/>
                          <w:b/>
                          <w:sz w:val="20"/>
                          <w:szCs w:val="20"/>
                          <w:lang w:val="fr-FR"/>
                        </w:rPr>
                        <w:t xml:space="preserve">Des ressources à jour peuvent être trouvées sur le </w:t>
                      </w:r>
                      <w:proofErr w:type="spellStart"/>
                      <w:r w:rsidRPr="000F6EF3">
                        <w:rPr>
                          <w:rFonts w:asciiTheme="majorHAnsi" w:hAnsiTheme="majorHAnsi" w:cstheme="majorHAnsi"/>
                          <w:b/>
                          <w:sz w:val="20"/>
                          <w:szCs w:val="20"/>
                          <w:lang w:val="fr-FR"/>
                        </w:rPr>
                        <w:t>Mpox</w:t>
                      </w:r>
                      <w:proofErr w:type="spellEnd"/>
                      <w:r w:rsidRPr="000F6EF3">
                        <w:rPr>
                          <w:rFonts w:asciiTheme="majorHAnsi" w:hAnsiTheme="majorHAnsi" w:cstheme="majorHAnsi"/>
                          <w:b/>
                          <w:sz w:val="20"/>
                          <w:szCs w:val="20"/>
                          <w:lang w:val="fr-FR"/>
                        </w:rPr>
                        <w:t xml:space="preserve"> and IYCF collection sur </w:t>
                      </w:r>
                      <w:hyperlink r:id="rId16" w:history="1">
                        <w:r w:rsidRPr="0081641E">
                          <w:rPr>
                            <w:rStyle w:val="Hyperlink"/>
                            <w:rFonts w:asciiTheme="majorHAnsi" w:hAnsiTheme="majorHAnsi" w:cstheme="majorHAnsi"/>
                            <w:b/>
                            <w:sz w:val="20"/>
                            <w:szCs w:val="20"/>
                            <w:lang w:val="fr-FR"/>
                          </w:rPr>
                          <w:t>le IYCF Hub</w:t>
                        </w:r>
                      </w:hyperlink>
                      <w:r>
                        <w:rPr>
                          <w:rFonts w:asciiTheme="majorHAnsi" w:hAnsiTheme="majorHAnsi" w:cstheme="majorHAnsi"/>
                          <w:b/>
                          <w:sz w:val="20"/>
                          <w:szCs w:val="20"/>
                          <w:lang w:val="fr-FR"/>
                        </w:rPr>
                        <w:t>.</w:t>
                      </w:r>
                      <w:r w:rsidRPr="000F6EF3">
                        <w:rPr>
                          <w:rFonts w:asciiTheme="majorHAnsi" w:hAnsiTheme="majorHAnsi" w:cstheme="majorHAnsi"/>
                          <w:b/>
                          <w:sz w:val="20"/>
                          <w:szCs w:val="20"/>
                          <w:lang w:val="fr-FR"/>
                        </w:rPr>
                        <w:t xml:space="preserve"> </w:t>
                      </w:r>
                    </w:p>
                    <w:p w14:paraId="7D69FF3E" w14:textId="310189D1" w:rsidR="00FE7F17" w:rsidRPr="000F6EF3" w:rsidRDefault="007B29A9" w:rsidP="00FE7F17">
                      <w:pPr>
                        <w:spacing w:after="0" w:line="240" w:lineRule="auto"/>
                        <w:rPr>
                          <w:rFonts w:ascii="Arial" w:hAnsi="Arial" w:cs="Arial"/>
                          <w:sz w:val="18"/>
                          <w:szCs w:val="18"/>
                          <w:lang w:val="fr-FR"/>
                        </w:rPr>
                      </w:pPr>
                      <w:r w:rsidRPr="007B29A9">
                        <w:rPr>
                          <w:rFonts w:asciiTheme="majorHAnsi" w:hAnsiTheme="majorHAnsi" w:cstheme="majorHAnsi"/>
                          <w:sz w:val="20"/>
                          <w:szCs w:val="20"/>
                        </w:rPr>
                        <w:t xml:space="preserve">Si </w:t>
                      </w:r>
                      <w:proofErr w:type="spellStart"/>
                      <w:r w:rsidRPr="007B29A9">
                        <w:rPr>
                          <w:rFonts w:asciiTheme="majorHAnsi" w:hAnsiTheme="majorHAnsi" w:cstheme="majorHAnsi"/>
                          <w:sz w:val="20"/>
                          <w:szCs w:val="20"/>
                        </w:rPr>
                        <w:t>vous</w:t>
                      </w:r>
                      <w:proofErr w:type="spellEnd"/>
                      <w:r w:rsidRPr="007B29A9">
                        <w:rPr>
                          <w:rFonts w:asciiTheme="majorHAnsi" w:hAnsiTheme="majorHAnsi" w:cstheme="majorHAnsi"/>
                          <w:sz w:val="20"/>
                          <w:szCs w:val="20"/>
                        </w:rPr>
                        <w:t xml:space="preserve"> </w:t>
                      </w:r>
                      <w:proofErr w:type="spellStart"/>
                      <w:r w:rsidRPr="007B29A9">
                        <w:rPr>
                          <w:rFonts w:asciiTheme="majorHAnsi" w:hAnsiTheme="majorHAnsi" w:cstheme="majorHAnsi"/>
                          <w:sz w:val="20"/>
                          <w:szCs w:val="20"/>
                        </w:rPr>
                        <w:t>avez</w:t>
                      </w:r>
                      <w:proofErr w:type="spellEnd"/>
                      <w:r w:rsidRPr="007B29A9">
                        <w:rPr>
                          <w:rFonts w:asciiTheme="majorHAnsi" w:hAnsiTheme="majorHAnsi" w:cstheme="majorHAnsi"/>
                          <w:sz w:val="20"/>
                          <w:szCs w:val="20"/>
                        </w:rPr>
                        <w:t xml:space="preserve"> des questions </w:t>
                      </w:r>
                      <w:proofErr w:type="spellStart"/>
                      <w:r w:rsidRPr="007B29A9">
                        <w:rPr>
                          <w:rFonts w:asciiTheme="majorHAnsi" w:hAnsiTheme="majorHAnsi" w:cstheme="majorHAnsi"/>
                          <w:sz w:val="20"/>
                          <w:szCs w:val="20"/>
                        </w:rPr>
                        <w:t>spécifiques</w:t>
                      </w:r>
                      <w:proofErr w:type="spellEnd"/>
                      <w:r w:rsidRPr="007B29A9">
                        <w:rPr>
                          <w:rFonts w:asciiTheme="majorHAnsi" w:hAnsiTheme="majorHAnsi" w:cstheme="majorHAnsi"/>
                          <w:sz w:val="20"/>
                          <w:szCs w:val="20"/>
                        </w:rPr>
                        <w:t xml:space="preserve"> </w:t>
                      </w:r>
                      <w:proofErr w:type="spellStart"/>
                      <w:r w:rsidRPr="007B29A9">
                        <w:rPr>
                          <w:rFonts w:asciiTheme="majorHAnsi" w:hAnsiTheme="majorHAnsi" w:cstheme="majorHAnsi"/>
                          <w:sz w:val="20"/>
                          <w:szCs w:val="20"/>
                        </w:rPr>
                        <w:t>concernant</w:t>
                      </w:r>
                      <w:proofErr w:type="spellEnd"/>
                      <w:r w:rsidRPr="007B29A9">
                        <w:rPr>
                          <w:rFonts w:asciiTheme="majorHAnsi" w:hAnsiTheme="majorHAnsi" w:cstheme="majorHAnsi"/>
                          <w:sz w:val="20"/>
                          <w:szCs w:val="20"/>
                        </w:rPr>
                        <w:t xml:space="preserve"> </w:t>
                      </w:r>
                      <w:proofErr w:type="spellStart"/>
                      <w:r w:rsidRPr="007B29A9">
                        <w:rPr>
                          <w:rFonts w:asciiTheme="majorHAnsi" w:hAnsiTheme="majorHAnsi" w:cstheme="majorHAnsi"/>
                          <w:sz w:val="20"/>
                          <w:szCs w:val="20"/>
                        </w:rPr>
                        <w:t>l'ANJE</w:t>
                      </w:r>
                      <w:proofErr w:type="spellEnd"/>
                      <w:r w:rsidRPr="007B29A9">
                        <w:rPr>
                          <w:rFonts w:asciiTheme="majorHAnsi" w:hAnsiTheme="majorHAnsi" w:cstheme="majorHAnsi"/>
                          <w:sz w:val="20"/>
                          <w:szCs w:val="20"/>
                        </w:rPr>
                        <w:t xml:space="preserve"> dans le </w:t>
                      </w:r>
                      <w:proofErr w:type="spellStart"/>
                      <w:r w:rsidRPr="007B29A9">
                        <w:rPr>
                          <w:rFonts w:asciiTheme="majorHAnsi" w:hAnsiTheme="majorHAnsi" w:cstheme="majorHAnsi"/>
                          <w:sz w:val="20"/>
                          <w:szCs w:val="20"/>
                        </w:rPr>
                        <w:t>contexte</w:t>
                      </w:r>
                      <w:proofErr w:type="spellEnd"/>
                      <w:r w:rsidRPr="007B29A9">
                        <w:rPr>
                          <w:rFonts w:asciiTheme="majorHAnsi" w:hAnsiTheme="majorHAnsi" w:cstheme="majorHAnsi"/>
                          <w:sz w:val="20"/>
                          <w:szCs w:val="20"/>
                        </w:rPr>
                        <w:t xml:space="preserve"> de la variole du singe </w:t>
                      </w:r>
                      <w:proofErr w:type="spellStart"/>
                      <w:r w:rsidRPr="007B29A9">
                        <w:rPr>
                          <w:rFonts w:asciiTheme="majorHAnsi" w:hAnsiTheme="majorHAnsi" w:cstheme="majorHAnsi"/>
                          <w:sz w:val="20"/>
                          <w:szCs w:val="20"/>
                        </w:rPr>
                        <w:t>ou</w:t>
                      </w:r>
                      <w:proofErr w:type="spellEnd"/>
                      <w:r w:rsidRPr="007B29A9">
                        <w:rPr>
                          <w:rFonts w:asciiTheme="majorHAnsi" w:hAnsiTheme="majorHAnsi" w:cstheme="majorHAnsi"/>
                          <w:sz w:val="20"/>
                          <w:szCs w:val="20"/>
                        </w:rPr>
                        <w:t xml:space="preserve"> </w:t>
                      </w:r>
                      <w:proofErr w:type="spellStart"/>
                      <w:r w:rsidRPr="007B29A9">
                        <w:rPr>
                          <w:rFonts w:asciiTheme="majorHAnsi" w:hAnsiTheme="majorHAnsi" w:cstheme="majorHAnsi"/>
                          <w:sz w:val="20"/>
                          <w:szCs w:val="20"/>
                        </w:rPr>
                        <w:t>si</w:t>
                      </w:r>
                      <w:proofErr w:type="spellEnd"/>
                      <w:r w:rsidRPr="007B29A9">
                        <w:rPr>
                          <w:rFonts w:asciiTheme="majorHAnsi" w:hAnsiTheme="majorHAnsi" w:cstheme="majorHAnsi"/>
                          <w:sz w:val="20"/>
                          <w:szCs w:val="20"/>
                        </w:rPr>
                        <w:t xml:space="preserve"> </w:t>
                      </w:r>
                      <w:proofErr w:type="spellStart"/>
                      <w:r w:rsidRPr="007B29A9">
                        <w:rPr>
                          <w:rFonts w:asciiTheme="majorHAnsi" w:hAnsiTheme="majorHAnsi" w:cstheme="majorHAnsi"/>
                          <w:sz w:val="20"/>
                          <w:szCs w:val="20"/>
                        </w:rPr>
                        <w:t>vous</w:t>
                      </w:r>
                      <w:proofErr w:type="spellEnd"/>
                      <w:r w:rsidRPr="007B29A9">
                        <w:rPr>
                          <w:rFonts w:asciiTheme="majorHAnsi" w:hAnsiTheme="majorHAnsi" w:cstheme="majorHAnsi"/>
                          <w:sz w:val="20"/>
                          <w:szCs w:val="20"/>
                        </w:rPr>
                        <w:t xml:space="preserve"> </w:t>
                      </w:r>
                      <w:proofErr w:type="spellStart"/>
                      <w:r w:rsidRPr="007B29A9">
                        <w:rPr>
                          <w:rFonts w:asciiTheme="majorHAnsi" w:hAnsiTheme="majorHAnsi" w:cstheme="majorHAnsi"/>
                          <w:sz w:val="20"/>
                          <w:szCs w:val="20"/>
                        </w:rPr>
                        <w:t>avez</w:t>
                      </w:r>
                      <w:proofErr w:type="spellEnd"/>
                      <w:r w:rsidRPr="007B29A9">
                        <w:rPr>
                          <w:rFonts w:asciiTheme="majorHAnsi" w:hAnsiTheme="majorHAnsi" w:cstheme="majorHAnsi"/>
                          <w:sz w:val="20"/>
                          <w:szCs w:val="20"/>
                        </w:rPr>
                        <w:t xml:space="preserve"> </w:t>
                      </w:r>
                      <w:proofErr w:type="spellStart"/>
                      <w:r w:rsidRPr="007B29A9">
                        <w:rPr>
                          <w:rFonts w:asciiTheme="majorHAnsi" w:hAnsiTheme="majorHAnsi" w:cstheme="majorHAnsi"/>
                          <w:sz w:val="20"/>
                          <w:szCs w:val="20"/>
                        </w:rPr>
                        <w:t>besoin</w:t>
                      </w:r>
                      <w:proofErr w:type="spellEnd"/>
                      <w:r w:rsidRPr="007B29A9">
                        <w:rPr>
                          <w:rFonts w:asciiTheme="majorHAnsi" w:hAnsiTheme="majorHAnsi" w:cstheme="majorHAnsi"/>
                          <w:sz w:val="20"/>
                          <w:szCs w:val="20"/>
                        </w:rPr>
                        <w:t xml:space="preserve"> </w:t>
                      </w:r>
                      <w:proofErr w:type="spellStart"/>
                      <w:r w:rsidRPr="007B29A9">
                        <w:rPr>
                          <w:rFonts w:asciiTheme="majorHAnsi" w:hAnsiTheme="majorHAnsi" w:cstheme="majorHAnsi"/>
                          <w:sz w:val="20"/>
                          <w:szCs w:val="20"/>
                        </w:rPr>
                        <w:t>d'assistance</w:t>
                      </w:r>
                      <w:proofErr w:type="spellEnd"/>
                      <w:r w:rsidRPr="007B29A9">
                        <w:rPr>
                          <w:rFonts w:asciiTheme="majorHAnsi" w:hAnsiTheme="majorHAnsi" w:cstheme="majorHAnsi"/>
                          <w:sz w:val="20"/>
                          <w:szCs w:val="20"/>
                        </w:rPr>
                        <w:t xml:space="preserve">, </w:t>
                      </w:r>
                      <w:proofErr w:type="spellStart"/>
                      <w:r w:rsidRPr="007B29A9">
                        <w:rPr>
                          <w:rFonts w:asciiTheme="majorHAnsi" w:hAnsiTheme="majorHAnsi" w:cstheme="majorHAnsi"/>
                          <w:sz w:val="20"/>
                          <w:szCs w:val="20"/>
                        </w:rPr>
                        <w:t>veuillez</w:t>
                      </w:r>
                      <w:proofErr w:type="spellEnd"/>
                      <w:r w:rsidRPr="007B29A9">
                        <w:rPr>
                          <w:rFonts w:asciiTheme="majorHAnsi" w:hAnsiTheme="majorHAnsi" w:cstheme="majorHAnsi"/>
                          <w:sz w:val="20"/>
                          <w:szCs w:val="20"/>
                        </w:rPr>
                        <w:t xml:space="preserve"> </w:t>
                      </w:r>
                      <w:proofErr w:type="spellStart"/>
                      <w:r w:rsidRPr="007B29A9">
                        <w:rPr>
                          <w:rFonts w:asciiTheme="majorHAnsi" w:hAnsiTheme="majorHAnsi" w:cstheme="majorHAnsi"/>
                          <w:sz w:val="20"/>
                          <w:szCs w:val="20"/>
                        </w:rPr>
                        <w:t>contacter</w:t>
                      </w:r>
                      <w:proofErr w:type="spellEnd"/>
                      <w:r w:rsidRPr="007B29A9">
                        <w:rPr>
                          <w:rFonts w:asciiTheme="majorHAnsi" w:hAnsiTheme="majorHAnsi" w:cstheme="majorHAnsi"/>
                          <w:sz w:val="20"/>
                          <w:szCs w:val="20"/>
                        </w:rPr>
                        <w:t xml:space="preserve"> le service </w:t>
                      </w:r>
                      <w:proofErr w:type="spellStart"/>
                      <w:r w:rsidRPr="007B29A9">
                        <w:rPr>
                          <w:rFonts w:asciiTheme="majorHAnsi" w:hAnsiTheme="majorHAnsi" w:cstheme="majorHAnsi"/>
                          <w:sz w:val="20"/>
                          <w:szCs w:val="20"/>
                        </w:rPr>
                        <w:t>d'assistance</w:t>
                      </w:r>
                      <w:proofErr w:type="spellEnd"/>
                      <w:r w:rsidRPr="007B29A9">
                        <w:rPr>
                          <w:rFonts w:asciiTheme="majorHAnsi" w:hAnsiTheme="majorHAnsi" w:cstheme="majorHAnsi"/>
                          <w:sz w:val="20"/>
                          <w:szCs w:val="20"/>
                        </w:rPr>
                        <w:t xml:space="preserve"> Nutrition </w:t>
                      </w:r>
                      <w:proofErr w:type="spellStart"/>
                      <w:r w:rsidRPr="007B29A9">
                        <w:rPr>
                          <w:rFonts w:asciiTheme="majorHAnsi" w:hAnsiTheme="majorHAnsi" w:cstheme="majorHAnsi"/>
                          <w:sz w:val="20"/>
                          <w:szCs w:val="20"/>
                        </w:rPr>
                        <w:t>en</w:t>
                      </w:r>
                      <w:proofErr w:type="spellEnd"/>
                      <w:r w:rsidRPr="007B29A9">
                        <w:rPr>
                          <w:rFonts w:asciiTheme="majorHAnsi" w:hAnsiTheme="majorHAnsi" w:cstheme="majorHAnsi"/>
                          <w:sz w:val="20"/>
                          <w:szCs w:val="20"/>
                        </w:rPr>
                        <w:t xml:space="preserve"> situations </w:t>
                      </w:r>
                      <w:proofErr w:type="spellStart"/>
                      <w:r w:rsidRPr="007B29A9">
                        <w:rPr>
                          <w:rFonts w:asciiTheme="majorHAnsi" w:hAnsiTheme="majorHAnsi" w:cstheme="majorHAnsi"/>
                          <w:sz w:val="20"/>
                          <w:szCs w:val="20"/>
                        </w:rPr>
                        <w:t>d'urgence</w:t>
                      </w:r>
                      <w:proofErr w:type="spellEnd"/>
                      <w:r w:rsidRPr="007B29A9">
                        <w:rPr>
                          <w:rFonts w:asciiTheme="majorHAnsi" w:hAnsiTheme="majorHAnsi" w:cstheme="majorHAnsi"/>
                          <w:sz w:val="20"/>
                          <w:szCs w:val="20"/>
                        </w:rPr>
                        <w:t xml:space="preserve"> du Cluster </w:t>
                      </w:r>
                      <w:proofErr w:type="spellStart"/>
                      <w:r w:rsidRPr="007B29A9">
                        <w:rPr>
                          <w:rFonts w:asciiTheme="majorHAnsi" w:hAnsiTheme="majorHAnsi" w:cstheme="majorHAnsi"/>
                          <w:sz w:val="20"/>
                          <w:szCs w:val="20"/>
                        </w:rPr>
                        <w:t>mondial</w:t>
                      </w:r>
                      <w:proofErr w:type="spellEnd"/>
                      <w:r w:rsidRPr="007B29A9">
                        <w:rPr>
                          <w:rFonts w:asciiTheme="majorHAnsi" w:hAnsiTheme="majorHAnsi" w:cstheme="majorHAnsi"/>
                          <w:sz w:val="20"/>
                          <w:szCs w:val="20"/>
                        </w:rPr>
                        <w:t xml:space="preserve"> de la nutrition à </w:t>
                      </w:r>
                      <w:proofErr w:type="spellStart"/>
                      <w:r w:rsidRPr="007B29A9">
                        <w:rPr>
                          <w:rFonts w:asciiTheme="majorHAnsi" w:hAnsiTheme="majorHAnsi" w:cstheme="majorHAnsi"/>
                          <w:sz w:val="20"/>
                          <w:szCs w:val="20"/>
                        </w:rPr>
                        <w:t>l'adresse</w:t>
                      </w:r>
                      <w:proofErr w:type="spellEnd"/>
                      <w:r w:rsidRPr="007B29A9">
                        <w:rPr>
                          <w:rFonts w:asciiTheme="majorHAnsi" w:hAnsiTheme="majorHAnsi" w:cstheme="majorHAnsi"/>
                          <w:sz w:val="20"/>
                          <w:szCs w:val="20"/>
                        </w:rPr>
                        <w:t xml:space="preserve"> </w:t>
                      </w:r>
                      <w:proofErr w:type="spellStart"/>
                      <w:r w:rsidRPr="007B29A9">
                        <w:rPr>
                          <w:rFonts w:asciiTheme="majorHAnsi" w:hAnsiTheme="majorHAnsi" w:cstheme="majorHAnsi"/>
                          <w:sz w:val="20"/>
                          <w:szCs w:val="20"/>
                        </w:rPr>
                        <w:t>suivante</w:t>
                      </w:r>
                      <w:proofErr w:type="spellEnd"/>
                      <w:r w:rsidRPr="007B29A9">
                        <w:rPr>
                          <w:rFonts w:asciiTheme="majorHAnsi" w:hAnsiTheme="majorHAnsi" w:cstheme="majorHAnsi"/>
                          <w:sz w:val="20"/>
                          <w:szCs w:val="20"/>
                        </w:rPr>
                        <w:t xml:space="preserve"> : </w:t>
                      </w:r>
                      <w:hyperlink r:id="rId17" w:tgtFrame="_new" w:history="1">
                        <w:r w:rsidRPr="007B29A9">
                          <w:rPr>
                            <w:rStyle w:val="Hyperlink"/>
                            <w:rFonts w:asciiTheme="majorHAnsi" w:hAnsiTheme="majorHAnsi" w:cstheme="majorHAnsi"/>
                            <w:sz w:val="20"/>
                            <w:szCs w:val="20"/>
                          </w:rPr>
                          <w:t>https://www.nutritioncluster.net/</w:t>
                        </w:r>
                      </w:hyperlink>
                      <w:r w:rsidRPr="007B29A9">
                        <w:rPr>
                          <w:rFonts w:asciiTheme="majorHAnsi" w:hAnsiTheme="majorHAnsi" w:cstheme="majorHAnsi"/>
                          <w:sz w:val="20"/>
                          <w:szCs w:val="20"/>
                        </w:rPr>
                        <w:t xml:space="preserve"> </w:t>
                      </w:r>
                      <w:proofErr w:type="spellStart"/>
                      <w:r w:rsidRPr="007B29A9">
                        <w:rPr>
                          <w:rFonts w:asciiTheme="majorHAnsi" w:hAnsiTheme="majorHAnsi" w:cstheme="majorHAnsi"/>
                          <w:sz w:val="20"/>
                          <w:szCs w:val="20"/>
                        </w:rPr>
                        <w:t>ou</w:t>
                      </w:r>
                      <w:proofErr w:type="spellEnd"/>
                      <w:r w:rsidRPr="007B29A9">
                        <w:rPr>
                          <w:rFonts w:asciiTheme="majorHAnsi" w:hAnsiTheme="majorHAnsi" w:cstheme="majorHAnsi"/>
                          <w:sz w:val="20"/>
                          <w:szCs w:val="20"/>
                        </w:rPr>
                        <w:t xml:space="preserve"> </w:t>
                      </w:r>
                      <w:proofErr w:type="spellStart"/>
                      <w:r w:rsidRPr="007B29A9">
                        <w:rPr>
                          <w:rFonts w:asciiTheme="majorHAnsi" w:hAnsiTheme="majorHAnsi" w:cstheme="majorHAnsi"/>
                          <w:sz w:val="20"/>
                          <w:szCs w:val="20"/>
                        </w:rPr>
                        <w:t>posez</w:t>
                      </w:r>
                      <w:proofErr w:type="spellEnd"/>
                      <w:r w:rsidRPr="007B29A9">
                        <w:rPr>
                          <w:rFonts w:asciiTheme="majorHAnsi" w:hAnsiTheme="majorHAnsi" w:cstheme="majorHAnsi"/>
                          <w:sz w:val="20"/>
                          <w:szCs w:val="20"/>
                        </w:rPr>
                        <w:t xml:space="preserve"> </w:t>
                      </w:r>
                      <w:proofErr w:type="spellStart"/>
                      <w:r w:rsidRPr="007B29A9">
                        <w:rPr>
                          <w:rFonts w:asciiTheme="majorHAnsi" w:hAnsiTheme="majorHAnsi" w:cstheme="majorHAnsi"/>
                          <w:sz w:val="20"/>
                          <w:szCs w:val="20"/>
                        </w:rPr>
                        <w:t>vos</w:t>
                      </w:r>
                      <w:proofErr w:type="spellEnd"/>
                      <w:r w:rsidRPr="007B29A9">
                        <w:rPr>
                          <w:rFonts w:asciiTheme="majorHAnsi" w:hAnsiTheme="majorHAnsi" w:cstheme="majorHAnsi"/>
                          <w:sz w:val="20"/>
                          <w:szCs w:val="20"/>
                        </w:rPr>
                        <w:t xml:space="preserve"> questions sur le forum de discussion </w:t>
                      </w:r>
                      <w:proofErr w:type="spellStart"/>
                      <w:r w:rsidRPr="007B29A9">
                        <w:rPr>
                          <w:rFonts w:asciiTheme="majorHAnsi" w:hAnsiTheme="majorHAnsi" w:cstheme="majorHAnsi"/>
                          <w:sz w:val="20"/>
                          <w:szCs w:val="20"/>
                        </w:rPr>
                        <w:t>d'en</w:t>
                      </w:r>
                      <w:proofErr w:type="spellEnd"/>
                      <w:r w:rsidRPr="007B29A9">
                        <w:rPr>
                          <w:rFonts w:asciiTheme="majorHAnsi" w:hAnsiTheme="majorHAnsi" w:cstheme="majorHAnsi"/>
                          <w:sz w:val="20"/>
                          <w:szCs w:val="20"/>
                        </w:rPr>
                        <w:t xml:space="preserve">-net sur la </w:t>
                      </w:r>
                      <w:proofErr w:type="spellStart"/>
                      <w:r w:rsidRPr="007B29A9">
                        <w:rPr>
                          <w:rFonts w:asciiTheme="majorHAnsi" w:hAnsiTheme="majorHAnsi" w:cstheme="majorHAnsi"/>
                          <w:sz w:val="20"/>
                          <w:szCs w:val="20"/>
                        </w:rPr>
                        <w:t>programmation</w:t>
                      </w:r>
                      <w:proofErr w:type="spellEnd"/>
                      <w:r w:rsidRPr="007B29A9">
                        <w:rPr>
                          <w:rFonts w:asciiTheme="majorHAnsi" w:hAnsiTheme="majorHAnsi" w:cstheme="majorHAnsi"/>
                          <w:sz w:val="20"/>
                          <w:szCs w:val="20"/>
                        </w:rPr>
                        <w:t xml:space="preserve"> </w:t>
                      </w:r>
                      <w:proofErr w:type="spellStart"/>
                      <w:r w:rsidRPr="007B29A9">
                        <w:rPr>
                          <w:rFonts w:asciiTheme="majorHAnsi" w:hAnsiTheme="majorHAnsi" w:cstheme="majorHAnsi"/>
                          <w:sz w:val="20"/>
                          <w:szCs w:val="20"/>
                        </w:rPr>
                        <w:t>nutritionnelle</w:t>
                      </w:r>
                      <w:proofErr w:type="spellEnd"/>
                      <w:r w:rsidRPr="007B29A9">
                        <w:rPr>
                          <w:rFonts w:asciiTheme="majorHAnsi" w:hAnsiTheme="majorHAnsi" w:cstheme="majorHAnsi"/>
                          <w:sz w:val="20"/>
                          <w:szCs w:val="20"/>
                        </w:rPr>
                        <w:t xml:space="preserve"> et la variole du singe : </w:t>
                      </w:r>
                      <w:hyperlink r:id="rId18" w:tgtFrame="_new" w:history="1">
                        <w:r w:rsidRPr="007B29A9">
                          <w:rPr>
                            <w:rStyle w:val="Hyperlink"/>
                            <w:rFonts w:asciiTheme="majorHAnsi" w:hAnsiTheme="majorHAnsi" w:cstheme="majorHAnsi"/>
                            <w:sz w:val="20"/>
                            <w:szCs w:val="20"/>
                          </w:rPr>
                          <w:t>https://www.en-net.org/forum/question/5125</w:t>
                        </w:r>
                      </w:hyperlink>
                      <w:r w:rsidRPr="007B29A9">
                        <w:rPr>
                          <w:rFonts w:asciiTheme="majorHAnsi" w:hAnsiTheme="majorHAnsi" w:cstheme="majorHAnsi"/>
                          <w:sz w:val="20"/>
                          <w:szCs w:val="20"/>
                        </w:rPr>
                        <w:t>.</w:t>
                      </w:r>
                    </w:p>
                  </w:txbxContent>
                </v:textbox>
                <w10:wrap anchorx="margin" anchory="margin"/>
              </v:shape>
            </w:pict>
          </mc:Fallback>
        </mc:AlternateContent>
      </w:r>
      <w:r w:rsidRPr="00A3111E">
        <w:rPr>
          <w:rFonts w:ascii="Arial" w:hAnsi="Arial" w:cs="Arial"/>
          <w:noProof/>
          <w:sz w:val="24"/>
          <w:szCs w:val="24"/>
        </w:rPr>
        <mc:AlternateContent>
          <mc:Choice Requires="wps">
            <w:drawing>
              <wp:anchor distT="0" distB="0" distL="114300" distR="114300" simplePos="0" relativeHeight="251672576" behindDoc="0" locked="0" layoutInCell="1" allowOverlap="1" wp14:anchorId="3C7D4186" wp14:editId="13E15D3A">
                <wp:simplePos x="0" y="0"/>
                <wp:positionH relativeFrom="margin">
                  <wp:posOffset>-78105</wp:posOffset>
                </wp:positionH>
                <wp:positionV relativeFrom="paragraph">
                  <wp:posOffset>576304</wp:posOffset>
                </wp:positionV>
                <wp:extent cx="6890385" cy="324485"/>
                <wp:effectExtent l="0" t="0" r="24765" b="18415"/>
                <wp:wrapSquare wrapText="bothSides"/>
                <wp:docPr id="606072445" name="Text Box 1"/>
                <wp:cNvGraphicFramePr/>
                <a:graphic xmlns:a="http://schemas.openxmlformats.org/drawingml/2006/main">
                  <a:graphicData uri="http://schemas.microsoft.com/office/word/2010/wordprocessingShape">
                    <wps:wsp>
                      <wps:cNvSpPr txBox="1"/>
                      <wps:spPr>
                        <a:xfrm>
                          <a:off x="0" y="0"/>
                          <a:ext cx="6890385" cy="3244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6A73A6B" w14:textId="77777777" w:rsidR="00FE7F17" w:rsidRPr="000507F8" w:rsidRDefault="00FE7F17" w:rsidP="00FE7F17">
                            <w:pPr>
                              <w:spacing w:after="0" w:line="240" w:lineRule="auto"/>
                              <w:rPr>
                                <w:rFonts w:ascii="Arial" w:hAnsi="Arial" w:cs="Arial"/>
                                <w:b/>
                                <w:spacing w:val="-10"/>
                                <w:sz w:val="20"/>
                                <w:szCs w:val="20"/>
                                <w:u w:val="single"/>
                                <w:lang w:val="fr-FR"/>
                              </w:rPr>
                            </w:pPr>
                            <w:r w:rsidRPr="000507F8">
                              <w:rPr>
                                <w:rFonts w:ascii="Arial" w:hAnsi="Arial" w:cs="Arial"/>
                                <w:bCs/>
                                <w:spacing w:val="-10"/>
                                <w:sz w:val="20"/>
                                <w:szCs w:val="20"/>
                                <w:u w:val="single"/>
                                <w:lang w:val="fr-FR"/>
                              </w:rPr>
                              <w:t>Contact [PAYS : ENTREZ LES COORDONNÉES LOCALES DE COORDINATION OU DU CLUSTER/SECTEUR NUTRITION]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D4186" id="_x0000_s1028" type="#_x0000_t202" style="position:absolute;left:0;text-align:left;margin-left:-6.15pt;margin-top:45.4pt;width:542.55pt;height:25.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" fillcolor="white [3201]" strokecolor="#9bbb59 [3206]" strokeweight="2pt">
                <v:textbox>
                  <w:txbxContent>
                    <w:p w14:paraId="06A73A6B" w14:textId="77777777" w:rsidR="00FE7F17" w:rsidRPr="000507F8" w:rsidRDefault="00FE7F17" w:rsidP="00FE7F17">
                      <w:pPr>
                        <w:spacing w:after="0" w:line="240" w:lineRule="auto"/>
                        <w:rPr>
                          <w:rFonts w:ascii="Arial" w:hAnsi="Arial" w:cs="Arial"/>
                          <w:b/>
                          <w:spacing w:val="-10"/>
                          <w:sz w:val="20"/>
                          <w:szCs w:val="20"/>
                          <w:u w:val="single"/>
                          <w:lang w:val="fr-FR"/>
                        </w:rPr>
                      </w:pPr>
                      <w:r w:rsidRPr="000507F8">
                        <w:rPr>
                          <w:rFonts w:ascii="Arial" w:hAnsi="Arial" w:cs="Arial"/>
                          <w:bCs/>
                          <w:spacing w:val="-10"/>
                          <w:sz w:val="20"/>
                          <w:szCs w:val="20"/>
                          <w:u w:val="single"/>
                          <w:lang w:val="fr-FR"/>
                        </w:rPr>
                        <w:t>Contact [PAYS : ENTREZ LES COORDONNÉES LOCALES DE COORDINATION OU DU CLUSTER/SECTEUR NUTRITION]</w:t>
                      </w:r>
                    </w:p>
                  </w:txbxContent>
                </v:textbox>
                <w10:wrap type="square" anchorx="margin"/>
              </v:shape>
            </w:pict>
          </mc:Fallback>
        </mc:AlternateContent>
      </w:r>
      <w:r w:rsidR="00FE7F17" w:rsidRPr="00A3111E">
        <w:rPr>
          <w:rFonts w:ascii="Arial" w:hAnsi="Arial" w:cs="Arial"/>
          <w:b/>
          <w:noProof/>
          <w:color w:val="3A5536"/>
          <w:sz w:val="24"/>
          <w:szCs w:val="24"/>
          <w:lang w:val="fr-FR"/>
        </w:rPr>
        <w:t xml:space="preserve">Tous les acteurs impliqués dans l’ANJE dans le cadre de la réponse à la variole du singe (Mpox) doivent s’informer, et informer leur personnel et leurs partenaires, sur les directives pertinentes sur le Mpox et l'ANJE, ainsi que </w:t>
      </w:r>
      <w:r w:rsidR="005A27C6" w:rsidRPr="00A3111E">
        <w:rPr>
          <w:rFonts w:ascii="Arial" w:hAnsi="Arial" w:cs="Arial"/>
          <w:b/>
          <w:noProof/>
          <w:color w:val="3A5536"/>
          <w:sz w:val="24"/>
          <w:szCs w:val="24"/>
          <w:lang w:val="fr-FR"/>
        </w:rPr>
        <w:t xml:space="preserve">sur </w:t>
      </w:r>
      <w:r w:rsidR="00FE7F17" w:rsidRPr="00A3111E">
        <w:rPr>
          <w:rFonts w:ascii="Arial" w:hAnsi="Arial" w:cs="Arial"/>
          <w:b/>
          <w:noProof/>
          <w:color w:val="3A5536"/>
          <w:sz w:val="24"/>
          <w:szCs w:val="24"/>
          <w:lang w:val="fr-FR"/>
        </w:rPr>
        <w:t>le contenu de cette déclaration.</w:t>
      </w:r>
    </w:p>
    <w:sectPr w:rsidR="00FE7F17" w:rsidRPr="00A3111E" w:rsidSect="00071794">
      <w:footerReference w:type="default" r:id="rId19"/>
      <w:type w:val="continuous"/>
      <w:pgSz w:w="11906" w:h="1683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CC432" w14:textId="77777777" w:rsidR="004E7026" w:rsidRDefault="004E7026">
      <w:pPr>
        <w:spacing w:after="0" w:line="240" w:lineRule="auto"/>
      </w:pPr>
      <w:r>
        <w:separator/>
      </w:r>
    </w:p>
  </w:endnote>
  <w:endnote w:type="continuationSeparator" w:id="0">
    <w:p w14:paraId="14046642" w14:textId="77777777" w:rsidR="004E7026" w:rsidRDefault="004E7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A41CD" w14:textId="4E0B2E90" w:rsidR="00F7197C" w:rsidRPr="00F7197C" w:rsidRDefault="00F7197C" w:rsidP="00F71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9AA48" w14:textId="77777777" w:rsidR="004E7026" w:rsidRDefault="004E7026">
      <w:pPr>
        <w:spacing w:after="0" w:line="240" w:lineRule="auto"/>
      </w:pPr>
      <w:r>
        <w:separator/>
      </w:r>
    </w:p>
  </w:footnote>
  <w:footnote w:type="continuationSeparator" w:id="0">
    <w:p w14:paraId="1FA601D9" w14:textId="77777777" w:rsidR="004E7026" w:rsidRDefault="004E7026">
      <w:pPr>
        <w:spacing w:after="0" w:line="240" w:lineRule="auto"/>
      </w:pPr>
      <w:r>
        <w:continuationSeparator/>
      </w:r>
    </w:p>
  </w:footnote>
  <w:footnote w:id="1">
    <w:p w14:paraId="32DD5D6C" w14:textId="6B6A6D6C" w:rsidR="000F2943" w:rsidRPr="002D253B" w:rsidRDefault="000F2943">
      <w:pPr>
        <w:pStyle w:val="FootnoteText"/>
        <w:rPr>
          <w:sz w:val="16"/>
          <w:szCs w:val="16"/>
          <w:lang w:val="fr-FR"/>
        </w:rPr>
      </w:pPr>
      <w:r w:rsidRPr="002D253B">
        <w:rPr>
          <w:rStyle w:val="FootnoteReference"/>
          <w:sz w:val="16"/>
          <w:szCs w:val="16"/>
        </w:rPr>
        <w:footnoteRef/>
      </w:r>
      <w:r w:rsidRPr="002D253B">
        <w:rPr>
          <w:sz w:val="16"/>
          <w:szCs w:val="16"/>
          <w:lang w:val="fr-FR"/>
        </w:rPr>
        <w:t xml:space="preserve"> </w:t>
      </w:r>
      <w:r w:rsidR="00A210A4" w:rsidRPr="002D253B">
        <w:rPr>
          <w:sz w:val="16"/>
          <w:szCs w:val="16"/>
          <w:lang w:val="fr-FR"/>
        </w:rPr>
        <w:t>Clusters nationaux, veuillez adapter au contexte local là où cela est indiqué, mais conservez les informations pertinentes et importantes dans le document. Supprimez les instructions entre crochets lors de la contextualisation.</w:t>
      </w:r>
    </w:p>
  </w:footnote>
  <w:footnote w:id="2">
    <w:p w14:paraId="2BEB6EA4" w14:textId="360C2341" w:rsidR="000F2943" w:rsidRPr="000F6EF3" w:rsidRDefault="000F2943">
      <w:pPr>
        <w:pStyle w:val="FootnoteText"/>
        <w:rPr>
          <w:lang w:val="fr-FR"/>
        </w:rPr>
      </w:pPr>
      <w:r w:rsidRPr="002D253B">
        <w:rPr>
          <w:rStyle w:val="FootnoteReference"/>
          <w:sz w:val="16"/>
          <w:szCs w:val="16"/>
        </w:rPr>
        <w:footnoteRef/>
      </w:r>
      <w:r w:rsidRPr="002D253B">
        <w:rPr>
          <w:sz w:val="16"/>
          <w:szCs w:val="16"/>
          <w:lang w:val="fr-FR"/>
        </w:rPr>
        <w:t xml:space="preserve"> </w:t>
      </w:r>
      <w:r w:rsidR="00A210A4" w:rsidRPr="002D253B">
        <w:rPr>
          <w:sz w:val="16"/>
          <w:szCs w:val="16"/>
          <w:lang w:val="fr-FR"/>
        </w:rPr>
        <w:t>Le modèle de cette Déclaration conjointe sur l’alimentation des nourrissons et des jeunes enfants (ANJE) dans le contexte de la variole du singe (</w:t>
      </w:r>
      <w:proofErr w:type="spellStart"/>
      <w:r w:rsidR="00A210A4" w:rsidRPr="002D253B">
        <w:rPr>
          <w:sz w:val="16"/>
          <w:szCs w:val="16"/>
          <w:lang w:val="fr-FR"/>
        </w:rPr>
        <w:t>Mpox</w:t>
      </w:r>
      <w:proofErr w:type="spellEnd"/>
      <w:r w:rsidR="00A210A4" w:rsidRPr="002D253B">
        <w:rPr>
          <w:sz w:val="16"/>
          <w:szCs w:val="16"/>
          <w:lang w:val="fr-FR"/>
        </w:rPr>
        <w:t xml:space="preserve">) comprend une consolidation des recommandations disponibles relatives à l’ANJE dans ce contexte. Il doit être adapté par les pays ou les clusters de nutrition et publié au niveau national. Il a été développé par le Cluster mondial de la nutrition (GNC) avec le soutien technique du Groupe principal sur l’alimentation des nourrissons en situation d’urgence (IFE) et du Groupe de travail sur les maladies infectieuses. Il est important que cette Déclaration conjointe soit accompagnée des ressources et orientations pertinentes disponibles sur le </w:t>
      </w:r>
      <w:r w:rsidRPr="002D253B">
        <w:rPr>
          <w:sz w:val="16"/>
          <w:szCs w:val="16"/>
          <w:lang w:val="fr-FR"/>
        </w:rPr>
        <w:t xml:space="preserve">IYCFE Resource Hub </w:t>
      </w:r>
      <w:proofErr w:type="spellStart"/>
      <w:r w:rsidRPr="002D253B">
        <w:rPr>
          <w:sz w:val="16"/>
          <w:szCs w:val="16"/>
          <w:lang w:val="fr-FR"/>
        </w:rPr>
        <w:t>Mpox</w:t>
      </w:r>
      <w:proofErr w:type="spellEnd"/>
      <w:r w:rsidRPr="002D253B">
        <w:rPr>
          <w:sz w:val="16"/>
          <w:szCs w:val="16"/>
          <w:lang w:val="fr-FR"/>
        </w:rPr>
        <w:t xml:space="preserve"> and IYCFE Collection https://iycfehub.org/collection/mpox-iycfe/</w:t>
      </w:r>
    </w:p>
  </w:footnote>
  <w:footnote w:id="3">
    <w:p w14:paraId="540AD212" w14:textId="1E040C20" w:rsidR="00EB5875" w:rsidRPr="000507F8" w:rsidRDefault="00EB5875">
      <w:pPr>
        <w:pStyle w:val="FootnoteText"/>
        <w:rPr>
          <w:sz w:val="16"/>
          <w:szCs w:val="16"/>
          <w:lang w:val="fr-FR"/>
        </w:rPr>
      </w:pPr>
      <w:r w:rsidRPr="000507F8">
        <w:rPr>
          <w:rStyle w:val="FootnoteReference"/>
          <w:sz w:val="16"/>
          <w:szCs w:val="16"/>
        </w:rPr>
        <w:footnoteRef/>
      </w:r>
      <w:r w:rsidRPr="000507F8">
        <w:rPr>
          <w:sz w:val="16"/>
          <w:szCs w:val="16"/>
          <w:lang w:val="fr-FR"/>
        </w:rPr>
        <w:t xml:space="preserve"> </w:t>
      </w:r>
      <w:r w:rsidRPr="000507F8">
        <w:rPr>
          <w:b/>
          <w:bCs/>
          <w:sz w:val="16"/>
          <w:szCs w:val="16"/>
          <w:lang w:val="fr-FR"/>
        </w:rPr>
        <w:t>UNICEF est le fournisseur de premier recours</w:t>
      </w:r>
      <w:r w:rsidRPr="000507F8">
        <w:rPr>
          <w:sz w:val="16"/>
          <w:szCs w:val="16"/>
          <w:lang w:val="fr-FR"/>
        </w:rPr>
        <w:t xml:space="preserve"> - Cela signifie que s'il est nécessaire de se procurer des substituts du lait maternel (SLM) dans des contextes humanitaires, UNICEF peut se procurer des SLM que le cluster ait été activé ou non. Dans les contextes humanitaires où des SLM sont nécessaires et ne peuvent pas être fournis dans les 48 heures, UNICEF s'engage à agir en tant que fournisseur de premier recours.</w:t>
      </w:r>
    </w:p>
  </w:footnote>
  <w:footnote w:id="4">
    <w:p w14:paraId="7A8DA29E" w14:textId="78C2DE21" w:rsidR="0091705C" w:rsidRPr="000507F8" w:rsidRDefault="0091705C">
      <w:pPr>
        <w:pStyle w:val="FootnoteText"/>
        <w:rPr>
          <w:sz w:val="16"/>
          <w:szCs w:val="16"/>
          <w:lang w:val="fr-FR"/>
        </w:rPr>
      </w:pPr>
      <w:r w:rsidRPr="000507F8">
        <w:rPr>
          <w:rStyle w:val="FootnoteReference"/>
          <w:sz w:val="16"/>
          <w:szCs w:val="16"/>
        </w:rPr>
        <w:footnoteRef/>
      </w:r>
      <w:r w:rsidRPr="000507F8">
        <w:rPr>
          <w:sz w:val="16"/>
          <w:szCs w:val="16"/>
          <w:lang w:val="fr-FR"/>
        </w:rPr>
        <w:t xml:space="preserve"> Tous les laits spécifiquement commercialisés pour nourrir les enfants jusqu'à 3 ans (y compris les préparations pour nourrissons, les préparations de suite et les laits de croissance), ainsi que d'autres aliments et boissons (comme les tisanes pour bébés, les jus et les eaux) promus pour nourrir un bébé pendant les six premiers mois de sa vie.</w:t>
      </w:r>
    </w:p>
  </w:footnote>
  <w:footnote w:id="5">
    <w:p w14:paraId="6232EF73" w14:textId="6CAF5A54" w:rsidR="00EB5875" w:rsidRPr="000F6EF3" w:rsidRDefault="00EB5875">
      <w:pPr>
        <w:pStyle w:val="FootnoteText"/>
        <w:rPr>
          <w:lang w:val="fr-FR"/>
        </w:rPr>
      </w:pPr>
      <w:r w:rsidRPr="000507F8">
        <w:rPr>
          <w:rStyle w:val="FootnoteReference"/>
          <w:sz w:val="16"/>
          <w:szCs w:val="16"/>
        </w:rPr>
        <w:footnoteRef/>
      </w:r>
      <w:r w:rsidRPr="000507F8">
        <w:rPr>
          <w:sz w:val="16"/>
          <w:szCs w:val="16"/>
          <w:lang w:val="fr-FR"/>
        </w:rPr>
        <w:t xml:space="preserve"> </w:t>
      </w:r>
      <w:r w:rsidR="0091705C" w:rsidRPr="000507F8">
        <w:rPr>
          <w:sz w:val="16"/>
          <w:szCs w:val="16"/>
          <w:lang w:val="fr-FR"/>
        </w:rPr>
        <w:t>Tout aliment produit industriellement ou préparé localement, approprié en complément du lait maternel ou d'un substitut du lait maternel (SLM), introduit après 6 mois d'âge complets.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74560" w14:textId="6D48D7BE" w:rsidR="008A66BE" w:rsidRDefault="001A0AD0">
    <w:pPr>
      <w:pStyle w:val="Header"/>
    </w:pPr>
    <w:r w:rsidRPr="00F7197C">
      <w:rPr>
        <w:noProof/>
      </w:rPr>
      <w:drawing>
        <wp:anchor distT="0" distB="0" distL="114300" distR="114300" simplePos="0" relativeHeight="251665408" behindDoc="1" locked="0" layoutInCell="1" allowOverlap="1" wp14:anchorId="5DF6F7C2" wp14:editId="66FE782B">
          <wp:simplePos x="0" y="0"/>
          <wp:positionH relativeFrom="margin">
            <wp:posOffset>5151392</wp:posOffset>
          </wp:positionH>
          <wp:positionV relativeFrom="page">
            <wp:posOffset>171450</wp:posOffset>
          </wp:positionV>
          <wp:extent cx="1355090" cy="475615"/>
          <wp:effectExtent l="0" t="0" r="3810" b="0"/>
          <wp:wrapTopAndBottom/>
          <wp:docPr id="297799975" name="Picture 1" descr="A green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304001" name="Picture 1" descr="A green and grey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5090" cy="475615"/>
                  </a:xfrm>
                  <a:prstGeom prst="rect">
                    <a:avLst/>
                  </a:prstGeom>
                </pic:spPr>
              </pic:pic>
            </a:graphicData>
          </a:graphic>
          <wp14:sizeRelH relativeFrom="page">
            <wp14:pctWidth>0</wp14:pctWidth>
          </wp14:sizeRelH>
          <wp14:sizeRelV relativeFrom="page">
            <wp14:pctHeight>0</wp14:pctHeight>
          </wp14:sizeRelV>
        </wp:anchor>
      </w:drawing>
    </w:r>
    <w:r w:rsidR="00C34125" w:rsidRPr="00EA158A">
      <w:rPr>
        <w:noProof/>
        <w:sz w:val="14"/>
        <w:szCs w:val="14"/>
      </w:rPr>
      <mc:AlternateContent>
        <mc:Choice Requires="wps">
          <w:drawing>
            <wp:anchor distT="0" distB="0" distL="114300" distR="114300" simplePos="0" relativeHeight="251661312" behindDoc="0" locked="0" layoutInCell="1" allowOverlap="1" wp14:anchorId="27221893" wp14:editId="051409DE">
              <wp:simplePos x="0" y="0"/>
              <wp:positionH relativeFrom="margin">
                <wp:posOffset>-971550</wp:posOffset>
              </wp:positionH>
              <wp:positionV relativeFrom="paragraph">
                <wp:posOffset>-482236</wp:posOffset>
              </wp:positionV>
              <wp:extent cx="7727950" cy="679722"/>
              <wp:effectExtent l="0" t="0" r="6350" b="6350"/>
              <wp:wrapNone/>
              <wp:docPr id="123251936" name="Rectangle 2"/>
              <wp:cNvGraphicFramePr/>
              <a:graphic xmlns:a="http://schemas.openxmlformats.org/drawingml/2006/main">
                <a:graphicData uri="http://schemas.microsoft.com/office/word/2010/wordprocessingShape">
                  <wps:wsp>
                    <wps:cNvSpPr/>
                    <wps:spPr>
                      <a:xfrm>
                        <a:off x="0" y="0"/>
                        <a:ext cx="7727950" cy="679722"/>
                      </a:xfrm>
                      <a:prstGeom prst="rect">
                        <a:avLst/>
                      </a:prstGeom>
                      <a:solidFill>
                        <a:schemeClr val="bg1"/>
                      </a:solidFill>
                      <a:ln>
                        <a:noFill/>
                      </a:ln>
                    </wps:spPr>
                    <wps:style>
                      <a:lnRef idx="0">
                        <a:scrgbClr r="0" g="0" b="0"/>
                      </a:lnRef>
                      <a:fillRef idx="0">
                        <a:scrgbClr r="0" g="0" b="0"/>
                      </a:fillRef>
                      <a:effectRef idx="0">
                        <a:scrgbClr r="0" g="0" b="0"/>
                      </a:effectRef>
                      <a:fontRef idx="minor">
                        <a:schemeClr val="lt1"/>
                      </a:fontRef>
                    </wps:style>
                    <wps:txbx>
                      <w:txbxContent>
                        <w:p w14:paraId="7DA715F2" w14:textId="06D07E6E" w:rsidR="008A66BE" w:rsidRPr="0066384A" w:rsidRDefault="008A66BE" w:rsidP="0066384A">
                          <w:pPr>
                            <w:spacing w:before="240"/>
                            <w:ind w:left="720" w:right="1350" w:firstLine="720"/>
                            <w:rPr>
                              <w:color w:val="4F6228" w:themeColor="accent3" w:themeShade="8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21893" id="Rectangle 2" o:spid="_x0000_s1029" style="position:absolute;margin-left:-76.5pt;margin-top:-37.95pt;width:608.5pt;height:5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" fillcolor="white [3212]" stroked="f">
              <v:textbox>
                <w:txbxContent>
                  <w:p w14:paraId="7DA715F2" w14:textId="06D07E6E" w:rsidR="008A66BE" w:rsidRPr="0066384A" w:rsidRDefault="008A66BE" w:rsidP="0066384A">
                    <w:pPr>
                      <w:spacing w:before="240"/>
                      <w:ind w:left="720" w:right="1350" w:firstLine="720"/>
                      <w:rPr>
                        <w:color w:val="4F6228" w:themeColor="accent3" w:themeShade="80"/>
                        <w:lang w:val="en-US"/>
                      </w:rPr>
                    </w:pPr>
                  </w:p>
                </w:txbxContent>
              </v:textbox>
              <w10:wrap anchorx="margin"/>
            </v:rect>
          </w:pict>
        </mc:Fallback>
      </mc:AlternateContent>
    </w:r>
    <w:r w:rsidR="00FA4B3D">
      <w:rPr>
        <w:noProof/>
      </w:rPr>
      <w:drawing>
        <wp:anchor distT="0" distB="0" distL="114300" distR="114300" simplePos="0" relativeHeight="251663360" behindDoc="0" locked="0" layoutInCell="1" allowOverlap="1" wp14:anchorId="29E0848D" wp14:editId="19E2D7E9">
          <wp:simplePos x="0" y="0"/>
          <wp:positionH relativeFrom="column">
            <wp:posOffset>-33020</wp:posOffset>
          </wp:positionH>
          <wp:positionV relativeFrom="paragraph">
            <wp:posOffset>-278130</wp:posOffset>
          </wp:positionV>
          <wp:extent cx="1436370" cy="431165"/>
          <wp:effectExtent l="0" t="0" r="0" b="635"/>
          <wp:wrapTopAndBottom/>
          <wp:docPr id="1660943554" name="Picture 5" descr="IFE Core Group (@IFECoreGroup)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FE Core Group (@IFECoreGroup) / X"/>
                  <pic:cNvPicPr>
                    <a:picLocks noChangeAspect="1" noChangeArrowheads="1"/>
                  </pic:cNvPicPr>
                </pic:nvPicPr>
                <pic:blipFill rotWithShape="1">
                  <a:blip r:embed="rId2">
                    <a:extLst>
                      <a:ext uri="{28A0092B-C50C-407E-A947-70E740481C1C}">
                        <a14:useLocalDpi xmlns:a14="http://schemas.microsoft.com/office/drawing/2010/main" val="0"/>
                      </a:ext>
                    </a:extLst>
                  </a:blip>
                  <a:srcRect t="31995" b="37938"/>
                  <a:stretch/>
                </pic:blipFill>
                <pic:spPr bwMode="auto">
                  <a:xfrm>
                    <a:off x="0" y="0"/>
                    <a:ext cx="1436370" cy="431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D53EA"/>
    <w:multiLevelType w:val="hybridMultilevel"/>
    <w:tmpl w:val="E90E6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E90B98"/>
    <w:multiLevelType w:val="multilevel"/>
    <w:tmpl w:val="0A56E4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8C64BCB"/>
    <w:multiLevelType w:val="hybridMultilevel"/>
    <w:tmpl w:val="C6182A6A"/>
    <w:lvl w:ilvl="0" w:tplc="81E0EBF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558A7"/>
    <w:multiLevelType w:val="hybridMultilevel"/>
    <w:tmpl w:val="9412EDB6"/>
    <w:lvl w:ilvl="0" w:tplc="FFFFFFFF">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5B21BF7"/>
    <w:multiLevelType w:val="hybridMultilevel"/>
    <w:tmpl w:val="3A9A74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BB65AA5"/>
    <w:multiLevelType w:val="hybridMultilevel"/>
    <w:tmpl w:val="9A486558"/>
    <w:lvl w:ilvl="0" w:tplc="61BE0C20">
      <w:start w:val="1"/>
      <w:numFmt w:val="bullet"/>
      <w:lvlText w:val=""/>
      <w:lvlJc w:val="left"/>
      <w:pPr>
        <w:ind w:left="720" w:hanging="360"/>
      </w:pPr>
      <w:rPr>
        <w:rFonts w:ascii="Wingdings" w:hAnsi="Wingdings" w:hint="default"/>
        <w:color w:val="auto"/>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58149511">
    <w:abstractNumId w:val="1"/>
  </w:num>
  <w:num w:numId="2" w16cid:durableId="894655595">
    <w:abstractNumId w:val="2"/>
  </w:num>
  <w:num w:numId="3" w16cid:durableId="1154760549">
    <w:abstractNumId w:val="5"/>
  </w:num>
  <w:num w:numId="4" w16cid:durableId="431710146">
    <w:abstractNumId w:val="3"/>
  </w:num>
  <w:num w:numId="5" w16cid:durableId="343745502">
    <w:abstractNumId w:val="0"/>
  </w:num>
  <w:num w:numId="6" w16cid:durableId="29305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C44"/>
    <w:rsid w:val="00012898"/>
    <w:rsid w:val="00022540"/>
    <w:rsid w:val="00035AC7"/>
    <w:rsid w:val="000507F8"/>
    <w:rsid w:val="00060723"/>
    <w:rsid w:val="00060F01"/>
    <w:rsid w:val="0006377E"/>
    <w:rsid w:val="00071794"/>
    <w:rsid w:val="00092EE7"/>
    <w:rsid w:val="000C7B51"/>
    <w:rsid w:val="000D4626"/>
    <w:rsid w:val="000F2943"/>
    <w:rsid w:val="000F6727"/>
    <w:rsid w:val="000F6EF3"/>
    <w:rsid w:val="00111A35"/>
    <w:rsid w:val="0011751C"/>
    <w:rsid w:val="0016377E"/>
    <w:rsid w:val="001649F6"/>
    <w:rsid w:val="0017179A"/>
    <w:rsid w:val="001A0AD0"/>
    <w:rsid w:val="001D1A33"/>
    <w:rsid w:val="001E24F6"/>
    <w:rsid w:val="001E674F"/>
    <w:rsid w:val="001E730F"/>
    <w:rsid w:val="00205B16"/>
    <w:rsid w:val="0021787C"/>
    <w:rsid w:val="00232160"/>
    <w:rsid w:val="0024585E"/>
    <w:rsid w:val="0026057D"/>
    <w:rsid w:val="002826BE"/>
    <w:rsid w:val="0029235F"/>
    <w:rsid w:val="00296B48"/>
    <w:rsid w:val="002B3180"/>
    <w:rsid w:val="002C6DCC"/>
    <w:rsid w:val="002D253B"/>
    <w:rsid w:val="002D2B36"/>
    <w:rsid w:val="002E161E"/>
    <w:rsid w:val="0030051B"/>
    <w:rsid w:val="00306DCE"/>
    <w:rsid w:val="00307664"/>
    <w:rsid w:val="0031185A"/>
    <w:rsid w:val="003278D7"/>
    <w:rsid w:val="00352154"/>
    <w:rsid w:val="003820F8"/>
    <w:rsid w:val="00382323"/>
    <w:rsid w:val="003A0A35"/>
    <w:rsid w:val="003F6D52"/>
    <w:rsid w:val="004433B4"/>
    <w:rsid w:val="0046452C"/>
    <w:rsid w:val="004858CC"/>
    <w:rsid w:val="004B2D27"/>
    <w:rsid w:val="004E46D5"/>
    <w:rsid w:val="004E7026"/>
    <w:rsid w:val="004F454F"/>
    <w:rsid w:val="0050163E"/>
    <w:rsid w:val="005207AA"/>
    <w:rsid w:val="005306BE"/>
    <w:rsid w:val="00535D53"/>
    <w:rsid w:val="005577C4"/>
    <w:rsid w:val="0058381F"/>
    <w:rsid w:val="005A27C6"/>
    <w:rsid w:val="005A3926"/>
    <w:rsid w:val="005C0EA0"/>
    <w:rsid w:val="005F589B"/>
    <w:rsid w:val="0066384A"/>
    <w:rsid w:val="006821F5"/>
    <w:rsid w:val="00696D40"/>
    <w:rsid w:val="006A4D9A"/>
    <w:rsid w:val="006B6568"/>
    <w:rsid w:val="006C421E"/>
    <w:rsid w:val="006E0E41"/>
    <w:rsid w:val="006E30AC"/>
    <w:rsid w:val="007010C1"/>
    <w:rsid w:val="007162FF"/>
    <w:rsid w:val="00726A27"/>
    <w:rsid w:val="007466C8"/>
    <w:rsid w:val="0076316F"/>
    <w:rsid w:val="00770C0F"/>
    <w:rsid w:val="00775A15"/>
    <w:rsid w:val="00796A47"/>
    <w:rsid w:val="007B29A9"/>
    <w:rsid w:val="007C19AA"/>
    <w:rsid w:val="007C2D9F"/>
    <w:rsid w:val="007F7CDD"/>
    <w:rsid w:val="00802D2E"/>
    <w:rsid w:val="0081641E"/>
    <w:rsid w:val="008209D9"/>
    <w:rsid w:val="00837A0D"/>
    <w:rsid w:val="00873BBE"/>
    <w:rsid w:val="00876B05"/>
    <w:rsid w:val="00897AF7"/>
    <w:rsid w:val="008A66BE"/>
    <w:rsid w:val="008C2DA8"/>
    <w:rsid w:val="008E57D1"/>
    <w:rsid w:val="0091705C"/>
    <w:rsid w:val="009474B9"/>
    <w:rsid w:val="009B7DD0"/>
    <w:rsid w:val="009C07A0"/>
    <w:rsid w:val="009D0987"/>
    <w:rsid w:val="009F47A5"/>
    <w:rsid w:val="00A210A4"/>
    <w:rsid w:val="00A3111E"/>
    <w:rsid w:val="00A74346"/>
    <w:rsid w:val="00A81CD8"/>
    <w:rsid w:val="00AB409F"/>
    <w:rsid w:val="00AB6C44"/>
    <w:rsid w:val="00AD2DEE"/>
    <w:rsid w:val="00B161BE"/>
    <w:rsid w:val="00B22375"/>
    <w:rsid w:val="00B330E5"/>
    <w:rsid w:val="00B40B51"/>
    <w:rsid w:val="00B5646F"/>
    <w:rsid w:val="00B67D63"/>
    <w:rsid w:val="00B702E9"/>
    <w:rsid w:val="00BA37EE"/>
    <w:rsid w:val="00BB636D"/>
    <w:rsid w:val="00BB6A19"/>
    <w:rsid w:val="00BC1E3F"/>
    <w:rsid w:val="00BD39B7"/>
    <w:rsid w:val="00BE0716"/>
    <w:rsid w:val="00BF71D8"/>
    <w:rsid w:val="00C04679"/>
    <w:rsid w:val="00C34125"/>
    <w:rsid w:val="00C47CBD"/>
    <w:rsid w:val="00C67EA8"/>
    <w:rsid w:val="00C74A68"/>
    <w:rsid w:val="00CB4606"/>
    <w:rsid w:val="00CD6287"/>
    <w:rsid w:val="00CE2296"/>
    <w:rsid w:val="00CF6899"/>
    <w:rsid w:val="00D05B13"/>
    <w:rsid w:val="00D27C4C"/>
    <w:rsid w:val="00D516FA"/>
    <w:rsid w:val="00D8658B"/>
    <w:rsid w:val="00E135B8"/>
    <w:rsid w:val="00E144C3"/>
    <w:rsid w:val="00E36920"/>
    <w:rsid w:val="00E846C6"/>
    <w:rsid w:val="00EA158A"/>
    <w:rsid w:val="00EA4D68"/>
    <w:rsid w:val="00EB5875"/>
    <w:rsid w:val="00F00B24"/>
    <w:rsid w:val="00F01461"/>
    <w:rsid w:val="00F144F4"/>
    <w:rsid w:val="00F15A33"/>
    <w:rsid w:val="00F20B11"/>
    <w:rsid w:val="00F40912"/>
    <w:rsid w:val="00F4638F"/>
    <w:rsid w:val="00F55515"/>
    <w:rsid w:val="00F67199"/>
    <w:rsid w:val="00F7197C"/>
    <w:rsid w:val="00F84033"/>
    <w:rsid w:val="00FA4B3D"/>
    <w:rsid w:val="00FC0EFA"/>
    <w:rsid w:val="00FC4430"/>
    <w:rsid w:val="00FD357F"/>
    <w:rsid w:val="00FE70D8"/>
    <w:rsid w:val="00FE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6AE0E"/>
  <w15:docId w15:val="{9A6ECC9C-AD93-4A32-82AC-9C6D720D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EA158A"/>
    <w:pPr>
      <w:ind w:left="720"/>
      <w:contextualSpacing/>
    </w:pPr>
  </w:style>
  <w:style w:type="paragraph" w:styleId="NormalWeb">
    <w:name w:val="Normal (Web)"/>
    <w:basedOn w:val="Normal"/>
    <w:uiPriority w:val="99"/>
    <w:semiHidden/>
    <w:unhideWhenUsed/>
    <w:rsid w:val="00F55515"/>
    <w:rPr>
      <w:rFonts w:ascii="Times New Roman" w:hAnsi="Times New Roman" w:cs="Times New Roman"/>
      <w:sz w:val="24"/>
      <w:szCs w:val="24"/>
    </w:rPr>
  </w:style>
  <w:style w:type="character" w:styleId="Hyperlink">
    <w:name w:val="Hyperlink"/>
    <w:basedOn w:val="DefaultParagraphFont"/>
    <w:uiPriority w:val="99"/>
    <w:unhideWhenUsed/>
    <w:rsid w:val="00060723"/>
    <w:rPr>
      <w:color w:val="0000FF" w:themeColor="hyperlink"/>
      <w:u w:val="single"/>
    </w:rPr>
  </w:style>
  <w:style w:type="character" w:styleId="UnresolvedMention">
    <w:name w:val="Unresolved Mention"/>
    <w:basedOn w:val="DefaultParagraphFont"/>
    <w:uiPriority w:val="99"/>
    <w:semiHidden/>
    <w:unhideWhenUsed/>
    <w:rsid w:val="00060723"/>
    <w:rPr>
      <w:color w:val="605E5C"/>
      <w:shd w:val="clear" w:color="auto" w:fill="E1DFDD"/>
    </w:rPr>
  </w:style>
  <w:style w:type="character" w:styleId="CommentReference">
    <w:name w:val="annotation reference"/>
    <w:basedOn w:val="DefaultParagraphFont"/>
    <w:uiPriority w:val="99"/>
    <w:semiHidden/>
    <w:unhideWhenUsed/>
    <w:rsid w:val="0024585E"/>
    <w:rPr>
      <w:sz w:val="16"/>
      <w:szCs w:val="16"/>
    </w:rPr>
  </w:style>
  <w:style w:type="paragraph" w:styleId="CommentText">
    <w:name w:val="annotation text"/>
    <w:basedOn w:val="Normal"/>
    <w:link w:val="CommentTextChar"/>
    <w:uiPriority w:val="99"/>
    <w:unhideWhenUsed/>
    <w:rsid w:val="0024585E"/>
    <w:pPr>
      <w:spacing w:line="240" w:lineRule="auto"/>
    </w:pPr>
    <w:rPr>
      <w:sz w:val="20"/>
      <w:szCs w:val="20"/>
    </w:rPr>
  </w:style>
  <w:style w:type="character" w:customStyle="1" w:styleId="CommentTextChar">
    <w:name w:val="Comment Text Char"/>
    <w:basedOn w:val="DefaultParagraphFont"/>
    <w:link w:val="CommentText"/>
    <w:uiPriority w:val="99"/>
    <w:rsid w:val="0024585E"/>
    <w:rPr>
      <w:sz w:val="20"/>
      <w:szCs w:val="20"/>
    </w:rPr>
  </w:style>
  <w:style w:type="paragraph" w:styleId="CommentSubject">
    <w:name w:val="annotation subject"/>
    <w:basedOn w:val="CommentText"/>
    <w:next w:val="CommentText"/>
    <w:link w:val="CommentSubjectChar"/>
    <w:uiPriority w:val="99"/>
    <w:semiHidden/>
    <w:unhideWhenUsed/>
    <w:rsid w:val="0024585E"/>
    <w:rPr>
      <w:b/>
      <w:bCs/>
    </w:rPr>
  </w:style>
  <w:style w:type="character" w:customStyle="1" w:styleId="CommentSubjectChar">
    <w:name w:val="Comment Subject Char"/>
    <w:basedOn w:val="CommentTextChar"/>
    <w:link w:val="CommentSubject"/>
    <w:uiPriority w:val="99"/>
    <w:semiHidden/>
    <w:rsid w:val="0024585E"/>
    <w:rPr>
      <w:b/>
      <w:bCs/>
      <w:sz w:val="20"/>
      <w:szCs w:val="20"/>
    </w:rPr>
  </w:style>
  <w:style w:type="paragraph" w:styleId="Revision">
    <w:name w:val="Revision"/>
    <w:hidden/>
    <w:uiPriority w:val="99"/>
    <w:semiHidden/>
    <w:rsid w:val="006821F5"/>
    <w:pPr>
      <w:spacing w:after="0" w:line="240" w:lineRule="auto"/>
    </w:pPr>
  </w:style>
  <w:style w:type="paragraph" w:styleId="FootnoteText">
    <w:name w:val="footnote text"/>
    <w:basedOn w:val="Normal"/>
    <w:link w:val="FootnoteTextChar"/>
    <w:uiPriority w:val="99"/>
    <w:semiHidden/>
    <w:unhideWhenUsed/>
    <w:rsid w:val="00205B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5B16"/>
    <w:rPr>
      <w:sz w:val="20"/>
      <w:szCs w:val="20"/>
    </w:rPr>
  </w:style>
  <w:style w:type="character" w:styleId="FootnoteReference">
    <w:name w:val="footnote reference"/>
    <w:basedOn w:val="DefaultParagraphFont"/>
    <w:uiPriority w:val="99"/>
    <w:unhideWhenUsed/>
    <w:rsid w:val="00205B16"/>
    <w:rPr>
      <w:vertAlign w:val="superscript"/>
    </w:rPr>
  </w:style>
  <w:style w:type="paragraph" w:styleId="Header">
    <w:name w:val="header"/>
    <w:basedOn w:val="Normal"/>
    <w:link w:val="HeaderChar"/>
    <w:uiPriority w:val="99"/>
    <w:unhideWhenUsed/>
    <w:rsid w:val="008A6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6BE"/>
  </w:style>
  <w:style w:type="paragraph" w:styleId="Footer">
    <w:name w:val="footer"/>
    <w:basedOn w:val="Normal"/>
    <w:link w:val="FooterChar"/>
    <w:uiPriority w:val="99"/>
    <w:unhideWhenUsed/>
    <w:rsid w:val="008A6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6BE"/>
  </w:style>
  <w:style w:type="character" w:customStyle="1" w:styleId="apple-converted-space">
    <w:name w:val="apple-converted-space"/>
    <w:basedOn w:val="DefaultParagraphFont"/>
    <w:rsid w:val="00F7197C"/>
  </w:style>
  <w:style w:type="table" w:styleId="TableGrid">
    <w:name w:val="Table Grid"/>
    <w:basedOn w:val="TableNormal"/>
    <w:uiPriority w:val="59"/>
    <w:rsid w:val="0066384A"/>
    <w:pPr>
      <w:spacing w:after="0" w:line="240" w:lineRule="auto"/>
    </w:pPr>
    <w:rPr>
      <w:rFonts w:asciiTheme="minorHAnsi" w:eastAsiaTheme="minorEastAsia"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779580">
      <w:bodyDiv w:val="1"/>
      <w:marLeft w:val="0"/>
      <w:marRight w:val="0"/>
      <w:marTop w:val="0"/>
      <w:marBottom w:val="0"/>
      <w:divBdr>
        <w:top w:val="none" w:sz="0" w:space="0" w:color="auto"/>
        <w:left w:val="none" w:sz="0" w:space="0" w:color="auto"/>
        <w:bottom w:val="none" w:sz="0" w:space="0" w:color="auto"/>
        <w:right w:val="none" w:sz="0" w:space="0" w:color="auto"/>
      </w:divBdr>
    </w:div>
    <w:div w:id="1220287059">
      <w:bodyDiv w:val="1"/>
      <w:marLeft w:val="0"/>
      <w:marRight w:val="0"/>
      <w:marTop w:val="0"/>
      <w:marBottom w:val="0"/>
      <w:divBdr>
        <w:top w:val="none" w:sz="0" w:space="0" w:color="auto"/>
        <w:left w:val="none" w:sz="0" w:space="0" w:color="auto"/>
        <w:bottom w:val="none" w:sz="0" w:space="0" w:color="auto"/>
        <w:right w:val="none" w:sz="0" w:space="0" w:color="auto"/>
      </w:divBdr>
    </w:div>
    <w:div w:id="2104257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ycfehub.org/collection/mpox-iycfe/" TargetMode="External"/><Relationship Id="rId18" Type="http://schemas.openxmlformats.org/officeDocument/2006/relationships/hyperlink" Target="https://www.en-net.org/forum/question/512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hyperlink" Target="https://www.nutritioncluster.net/" TargetMode="External"/><Relationship Id="rId2" Type="http://schemas.openxmlformats.org/officeDocument/2006/relationships/numbering" Target="numbering.xml"/><Relationship Id="rId16" Type="http://schemas.openxmlformats.org/officeDocument/2006/relationships/hyperlink" Target="https://iycfehub.org/collection/mpox-iycf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en-net.org/forum/question/5125" TargetMode="External"/><Relationship Id="rId10" Type="http://schemas.microsoft.com/office/2007/relationships/hdphoto" Target="media/hdphoto1.wdp"/><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nutritioncluster.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A51FC-CF36-4DEB-8DA8-79C38C99B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 Sharma</dc:creator>
  <cp:lastModifiedBy>Brooke Bauer</cp:lastModifiedBy>
  <cp:revision>7</cp:revision>
  <dcterms:created xsi:type="dcterms:W3CDTF">2024-09-26T10:04:00Z</dcterms:created>
  <dcterms:modified xsi:type="dcterms:W3CDTF">2024-09-28T08:21:00Z</dcterms:modified>
</cp:coreProperties>
</file>